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4F" w:rsidRPr="00186FBF" w:rsidRDefault="00A8554F" w:rsidP="00CC6FC3">
      <w:pPr>
        <w:snapToGrid w:val="0"/>
        <w:rPr>
          <w:rFonts w:ascii="宋体"/>
          <w:spacing w:val="4"/>
          <w:sz w:val="24"/>
        </w:rPr>
      </w:pPr>
      <w:r w:rsidRPr="00186FBF">
        <w:rPr>
          <w:rFonts w:ascii="宋体" w:hint="eastAsia"/>
          <w:spacing w:val="4"/>
          <w:sz w:val="24"/>
        </w:rPr>
        <w:t>证券代码：</w:t>
      </w:r>
      <w:r w:rsidR="00CC6FC3">
        <w:rPr>
          <w:rFonts w:ascii="宋体"/>
          <w:spacing w:val="4"/>
          <w:sz w:val="24"/>
        </w:rPr>
        <w:t xml:space="preserve">600230     </w:t>
      </w:r>
      <w:r w:rsidRPr="00186FBF">
        <w:rPr>
          <w:rFonts w:ascii="宋体" w:hint="eastAsia"/>
          <w:spacing w:val="4"/>
          <w:sz w:val="24"/>
        </w:rPr>
        <w:t xml:space="preserve"> </w:t>
      </w:r>
      <w:r w:rsidR="00CC6FC3">
        <w:rPr>
          <w:rFonts w:ascii="宋体"/>
          <w:spacing w:val="4"/>
          <w:sz w:val="24"/>
        </w:rPr>
        <w:t xml:space="preserve">   </w:t>
      </w:r>
      <w:r w:rsidRPr="00186FBF">
        <w:rPr>
          <w:rFonts w:ascii="宋体" w:hint="eastAsia"/>
          <w:spacing w:val="4"/>
          <w:sz w:val="24"/>
        </w:rPr>
        <w:t>股票简称：</w:t>
      </w:r>
      <w:r w:rsidR="009D5617">
        <w:rPr>
          <w:rFonts w:ascii="宋体" w:hint="eastAsia"/>
          <w:spacing w:val="4"/>
          <w:sz w:val="24"/>
        </w:rPr>
        <w:t>沧州大化</w:t>
      </w:r>
      <w:r w:rsidR="00186FBF">
        <w:rPr>
          <w:rFonts w:ascii="宋体" w:hint="eastAsia"/>
          <w:spacing w:val="4"/>
          <w:sz w:val="24"/>
        </w:rPr>
        <w:t xml:space="preserve"> </w:t>
      </w:r>
      <w:r w:rsidR="00CC6FC3">
        <w:rPr>
          <w:rFonts w:ascii="宋体"/>
          <w:spacing w:val="4"/>
          <w:sz w:val="24"/>
        </w:rPr>
        <w:t xml:space="preserve">       </w:t>
      </w:r>
      <w:r w:rsidRPr="00186FBF">
        <w:rPr>
          <w:rFonts w:ascii="宋体" w:hint="eastAsia"/>
          <w:spacing w:val="4"/>
          <w:sz w:val="24"/>
        </w:rPr>
        <w:t xml:space="preserve"> 编号：</w:t>
      </w:r>
      <w:r w:rsidRPr="00186FBF">
        <w:rPr>
          <w:rFonts w:ascii="宋体"/>
          <w:spacing w:val="4"/>
          <w:sz w:val="24"/>
        </w:rPr>
        <w:t>20</w:t>
      </w:r>
      <w:r w:rsidR="00CE5387">
        <w:rPr>
          <w:rFonts w:ascii="宋体" w:hint="eastAsia"/>
          <w:spacing w:val="4"/>
          <w:sz w:val="24"/>
        </w:rPr>
        <w:t>2</w:t>
      </w:r>
      <w:r w:rsidR="005B3E6E">
        <w:rPr>
          <w:rFonts w:ascii="宋体" w:hint="eastAsia"/>
          <w:spacing w:val="4"/>
          <w:sz w:val="24"/>
        </w:rPr>
        <w:t>3</w:t>
      </w:r>
      <w:r w:rsidRPr="00186FBF">
        <w:rPr>
          <w:rFonts w:ascii="宋体"/>
          <w:spacing w:val="4"/>
          <w:sz w:val="24"/>
        </w:rPr>
        <w:t>-</w:t>
      </w:r>
      <w:r w:rsidR="005B3E6E">
        <w:rPr>
          <w:rFonts w:ascii="宋体" w:hint="eastAsia"/>
          <w:color w:val="000000"/>
          <w:spacing w:val="4"/>
          <w:sz w:val="24"/>
        </w:rPr>
        <w:t>001</w:t>
      </w:r>
    </w:p>
    <w:p w:rsidR="00A8554F" w:rsidRPr="00186FBF" w:rsidRDefault="00A8554F">
      <w:pPr>
        <w:snapToGrid w:val="0"/>
        <w:jc w:val="center"/>
        <w:rPr>
          <w:rFonts w:ascii="宋体"/>
          <w:spacing w:val="4"/>
          <w:sz w:val="24"/>
        </w:rPr>
      </w:pPr>
    </w:p>
    <w:p w:rsidR="00D237B8" w:rsidRDefault="00A8554F" w:rsidP="00D237B8">
      <w:pPr>
        <w:snapToGrid w:val="0"/>
        <w:jc w:val="center"/>
        <w:rPr>
          <w:rFonts w:ascii="黑体" w:eastAsia="黑体"/>
          <w:b/>
          <w:color w:val="FF0000"/>
          <w:sz w:val="36"/>
        </w:rPr>
      </w:pPr>
      <w:r w:rsidRPr="00186FBF">
        <w:rPr>
          <w:rFonts w:ascii="黑体" w:eastAsia="黑体" w:hint="eastAsia"/>
          <w:b/>
          <w:color w:val="FF0000"/>
          <w:sz w:val="36"/>
        </w:rPr>
        <w:t>沧州大化股份有限公司</w:t>
      </w:r>
    </w:p>
    <w:p w:rsidR="00A8554F" w:rsidRDefault="00D42EFC" w:rsidP="00D237B8">
      <w:pPr>
        <w:snapToGrid w:val="0"/>
        <w:jc w:val="center"/>
        <w:rPr>
          <w:sz w:val="24"/>
        </w:rPr>
      </w:pPr>
      <w:r w:rsidRPr="00D42EFC">
        <w:rPr>
          <w:rFonts w:ascii="黑体" w:eastAsia="黑体" w:hint="eastAsia"/>
          <w:b/>
          <w:bCs/>
          <w:color w:val="FF0000"/>
          <w:sz w:val="36"/>
        </w:rPr>
        <w:t>20</w:t>
      </w:r>
      <w:r w:rsidR="00CE5387">
        <w:rPr>
          <w:rFonts w:ascii="黑体" w:eastAsia="黑体" w:hint="eastAsia"/>
          <w:b/>
          <w:bCs/>
          <w:color w:val="FF0000"/>
          <w:sz w:val="36"/>
        </w:rPr>
        <w:t>2</w:t>
      </w:r>
      <w:r w:rsidR="005B3E6E">
        <w:rPr>
          <w:rFonts w:ascii="黑体" w:eastAsia="黑体" w:hint="eastAsia"/>
          <w:b/>
          <w:bCs/>
          <w:color w:val="FF0000"/>
          <w:sz w:val="36"/>
        </w:rPr>
        <w:t>2</w:t>
      </w:r>
      <w:r w:rsidRPr="00D42EFC">
        <w:rPr>
          <w:rFonts w:ascii="黑体" w:eastAsia="黑体" w:hint="eastAsia"/>
          <w:b/>
          <w:bCs/>
          <w:color w:val="FF0000"/>
          <w:sz w:val="36"/>
        </w:rPr>
        <w:t>年</w:t>
      </w:r>
      <w:r w:rsidR="000B711F">
        <w:rPr>
          <w:rFonts w:ascii="黑体" w:eastAsia="黑体" w:hint="eastAsia"/>
          <w:b/>
          <w:bCs/>
          <w:color w:val="FF0000"/>
          <w:sz w:val="36"/>
        </w:rPr>
        <w:t>年</w:t>
      </w:r>
      <w:r w:rsidRPr="00D42EFC">
        <w:rPr>
          <w:rFonts w:ascii="黑体" w:eastAsia="黑体" w:hint="eastAsia"/>
          <w:b/>
          <w:bCs/>
          <w:color w:val="FF0000"/>
          <w:sz w:val="36"/>
        </w:rPr>
        <w:t>度</w:t>
      </w:r>
      <w:proofErr w:type="gramStart"/>
      <w:r w:rsidRPr="00D42EFC">
        <w:rPr>
          <w:rFonts w:ascii="黑体" w:eastAsia="黑体" w:hint="eastAsia"/>
          <w:b/>
          <w:bCs/>
          <w:color w:val="FF0000"/>
          <w:sz w:val="36"/>
        </w:rPr>
        <w:t>业绩预</w:t>
      </w:r>
      <w:r w:rsidR="00770ABA">
        <w:rPr>
          <w:rFonts w:ascii="黑体" w:eastAsia="黑体" w:hint="eastAsia"/>
          <w:b/>
          <w:bCs/>
          <w:color w:val="FF0000"/>
          <w:sz w:val="36"/>
        </w:rPr>
        <w:t>增</w:t>
      </w:r>
      <w:r w:rsidRPr="00D42EFC">
        <w:rPr>
          <w:rFonts w:ascii="黑体" w:eastAsia="黑体" w:hint="eastAsia"/>
          <w:b/>
          <w:bCs/>
          <w:color w:val="FF0000"/>
          <w:sz w:val="36"/>
        </w:rPr>
        <w:t>公告</w:t>
      </w:r>
      <w:proofErr w:type="gramEnd"/>
    </w:p>
    <w:p w:rsidR="0063410D" w:rsidRDefault="0063410D" w:rsidP="00637018">
      <w:pPr>
        <w:snapToGrid w:val="0"/>
        <w:spacing w:line="360" w:lineRule="auto"/>
        <w:ind w:leftChars="100" w:left="210" w:firstLine="482"/>
        <w:rPr>
          <w:rFonts w:ascii="宋体"/>
          <w:sz w:val="24"/>
        </w:rPr>
      </w:pPr>
    </w:p>
    <w:p w:rsidR="00637018" w:rsidRDefault="00DF7B06" w:rsidP="00637018">
      <w:pPr>
        <w:snapToGrid w:val="0"/>
        <w:spacing w:line="360" w:lineRule="auto"/>
        <w:ind w:leftChars="100" w:left="210" w:firstLine="482"/>
        <w:rPr>
          <w:rFonts w:ascii="宋体"/>
          <w:sz w:val="24"/>
        </w:rPr>
      </w:pPr>
      <w:r w:rsidRPr="00186FBF">
        <w:rPr>
          <w:rFonts w:ascii="宋体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BE0278" w:rsidRDefault="00BE0278" w:rsidP="00637018">
      <w:pPr>
        <w:snapToGrid w:val="0"/>
        <w:spacing w:line="360" w:lineRule="auto"/>
        <w:ind w:leftChars="100" w:left="210" w:firstLine="482"/>
        <w:rPr>
          <w:rFonts w:ascii="宋体"/>
          <w:sz w:val="24"/>
        </w:rPr>
      </w:pPr>
    </w:p>
    <w:p w:rsidR="00BE0278" w:rsidRPr="00FE054B" w:rsidRDefault="00BE0278" w:rsidP="00FE054B">
      <w:pPr>
        <w:widowControl/>
        <w:spacing w:line="360" w:lineRule="auto"/>
        <w:ind w:firstLine="468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770ABA">
        <w:rPr>
          <w:rFonts w:ascii="宋体" w:hAnsi="宋体" w:cs="宋体" w:hint="eastAsia"/>
          <w:b/>
          <w:color w:val="000000"/>
          <w:kern w:val="0"/>
          <w:sz w:val="24"/>
        </w:rPr>
        <w:t>重要内容提示：</w:t>
      </w:r>
    </w:p>
    <w:p w:rsidR="00BE0278" w:rsidRDefault="00BE0278" w:rsidP="00954F29">
      <w:pPr>
        <w:snapToGrid w:val="0"/>
        <w:spacing w:line="480" w:lineRule="exact"/>
        <w:ind w:leftChars="100" w:left="210" w:firstLineChars="100" w:firstLine="24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●</w:t>
      </w:r>
      <w:r w:rsidRPr="00770ABA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hAnsi="宋体" w:cs="宋体"/>
          <w:color w:val="000000"/>
          <w:kern w:val="0"/>
          <w:sz w:val="24"/>
        </w:rPr>
        <w:t>本期业绩预告适用于实现盈利，</w:t>
      </w:r>
      <w:proofErr w:type="gramStart"/>
      <w:r>
        <w:rPr>
          <w:rFonts w:ascii="宋体" w:hAnsi="宋体" w:cs="宋体"/>
          <w:color w:val="000000"/>
          <w:kern w:val="0"/>
          <w:sz w:val="24"/>
        </w:rPr>
        <w:t>且净利润</w:t>
      </w:r>
      <w:proofErr w:type="gramEnd"/>
      <w:r>
        <w:rPr>
          <w:rFonts w:ascii="宋体" w:hAnsi="宋体" w:cs="宋体"/>
          <w:color w:val="000000"/>
          <w:kern w:val="0"/>
          <w:sz w:val="24"/>
        </w:rPr>
        <w:t>与上年同期相比上</w:t>
      </w:r>
      <w:r>
        <w:rPr>
          <w:rFonts w:ascii="宋体" w:hAnsi="宋体" w:cs="宋体" w:hint="eastAsia"/>
          <w:color w:val="000000"/>
          <w:kern w:val="0"/>
          <w:sz w:val="24"/>
        </w:rPr>
        <w:t>升</w:t>
      </w:r>
      <w:r w:rsidRPr="00BE0278">
        <w:rPr>
          <w:rFonts w:ascii="宋体" w:hAnsi="宋体" w:cs="宋体"/>
          <w:color w:val="000000"/>
          <w:kern w:val="0"/>
          <w:sz w:val="24"/>
        </w:rPr>
        <w:t>50%以上的情形。</w:t>
      </w:r>
    </w:p>
    <w:p w:rsidR="00BE0278" w:rsidRPr="002C5360" w:rsidRDefault="00BE0278" w:rsidP="00954F29">
      <w:pPr>
        <w:widowControl/>
        <w:spacing w:line="480" w:lineRule="exact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● 经沧州大化股份有限公司（以下简称“公司”）财务部门初步测算，</w:t>
      </w:r>
      <w:r w:rsidRPr="00770ABA">
        <w:rPr>
          <w:rFonts w:ascii="宋体" w:hAnsi="宋体" w:cs="宋体" w:hint="eastAsia"/>
          <w:color w:val="000000"/>
          <w:kern w:val="0"/>
          <w:sz w:val="24"/>
        </w:rPr>
        <w:t>预计</w:t>
      </w:r>
      <w:r>
        <w:rPr>
          <w:rFonts w:ascii="宋体" w:hAnsi="宋体" w:cs="宋体" w:hint="eastAsia"/>
          <w:color w:val="000000"/>
          <w:kern w:val="0"/>
          <w:sz w:val="24"/>
        </w:rPr>
        <w:t>2022</w:t>
      </w:r>
      <w:r w:rsidRPr="00770ABA">
        <w:rPr>
          <w:rFonts w:ascii="宋体" w:hAnsi="宋体" w:cs="宋体" w:hint="eastAsia"/>
          <w:color w:val="000000"/>
          <w:kern w:val="0"/>
          <w:sz w:val="24"/>
        </w:rPr>
        <w:t>年度实现归属于上市公司股东的净利润</w:t>
      </w:r>
      <w:r>
        <w:rPr>
          <w:rFonts w:ascii="宋体" w:hAnsi="宋体" w:cs="宋体" w:hint="eastAsia"/>
          <w:color w:val="000000"/>
          <w:kern w:val="0"/>
          <w:sz w:val="24"/>
        </w:rPr>
        <w:t>为</w:t>
      </w:r>
      <w:r w:rsidRPr="00F85A63">
        <w:rPr>
          <w:rFonts w:ascii="宋体" w:hAnsi="宋体" w:cs="宋体" w:hint="eastAsia"/>
          <w:color w:val="000000"/>
          <w:kern w:val="0"/>
          <w:sz w:val="24"/>
        </w:rPr>
        <w:t>41,570万元到42,570万元</w:t>
      </w:r>
      <w:r w:rsidR="00954F29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BE0278" w:rsidRPr="00186FBF" w:rsidRDefault="00BE0278" w:rsidP="00954F29">
      <w:pPr>
        <w:snapToGrid w:val="0"/>
        <w:spacing w:line="480" w:lineRule="exact"/>
        <w:ind w:leftChars="100" w:left="210" w:firstLineChars="100" w:firstLine="240"/>
        <w:rPr>
          <w:rFonts w:ascii="宋体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● </w:t>
      </w:r>
      <w:r>
        <w:rPr>
          <w:rFonts w:cs="宋体" w:hint="eastAsia"/>
          <w:kern w:val="0"/>
          <w:sz w:val="24"/>
        </w:rPr>
        <w:t>预计</w:t>
      </w:r>
      <w:r>
        <w:rPr>
          <w:rFonts w:cs="宋体" w:hint="eastAsia"/>
          <w:kern w:val="0"/>
          <w:sz w:val="24"/>
        </w:rPr>
        <w:t>2022</w:t>
      </w:r>
      <w:r>
        <w:rPr>
          <w:rFonts w:cs="宋体" w:hint="eastAsia"/>
          <w:kern w:val="0"/>
          <w:sz w:val="24"/>
        </w:rPr>
        <w:t>年</w:t>
      </w:r>
      <w:r w:rsidRPr="00F85A63">
        <w:rPr>
          <w:rFonts w:cs="宋体" w:hint="eastAsia"/>
          <w:kern w:val="0"/>
          <w:sz w:val="24"/>
        </w:rPr>
        <w:t>归属于上市公司股东的扣除非经常性损益的净利润为</w:t>
      </w:r>
      <w:r w:rsidRPr="00287D0B">
        <w:rPr>
          <w:rFonts w:ascii="宋体" w:hAnsi="宋体" w:cs="宋体" w:hint="eastAsia"/>
          <w:color w:val="000000"/>
          <w:kern w:val="0"/>
          <w:sz w:val="24"/>
        </w:rPr>
        <w:t>41,350</w:t>
      </w:r>
      <w:r w:rsidRPr="00F85A63">
        <w:rPr>
          <w:rFonts w:cs="宋体" w:hint="eastAsia"/>
          <w:kern w:val="0"/>
          <w:sz w:val="24"/>
        </w:rPr>
        <w:t>万元到</w:t>
      </w:r>
      <w:r w:rsidRPr="00287D0B">
        <w:rPr>
          <w:rFonts w:ascii="宋体" w:hAnsi="宋体" w:cs="宋体" w:hint="eastAsia"/>
          <w:color w:val="000000"/>
          <w:kern w:val="0"/>
          <w:sz w:val="24"/>
        </w:rPr>
        <w:t>42,350</w:t>
      </w:r>
      <w:r w:rsidRPr="00F85A63">
        <w:rPr>
          <w:rFonts w:cs="宋体" w:hint="eastAsia"/>
          <w:kern w:val="0"/>
          <w:sz w:val="24"/>
        </w:rPr>
        <w:t>万元</w:t>
      </w:r>
      <w:r w:rsidRPr="0087787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BE0278" w:rsidRDefault="00BE0278" w:rsidP="00770ABA">
      <w:pPr>
        <w:widowControl/>
        <w:spacing w:line="360" w:lineRule="auto"/>
        <w:ind w:firstLine="480"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p w:rsidR="00770ABA" w:rsidRPr="00770ABA" w:rsidRDefault="00770ABA" w:rsidP="00770ABA">
      <w:pPr>
        <w:widowControl/>
        <w:spacing w:line="360" w:lineRule="auto"/>
        <w:ind w:firstLine="480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770ABA">
        <w:rPr>
          <w:rFonts w:ascii="宋体" w:hAnsi="宋体" w:cs="宋体" w:hint="eastAsia"/>
          <w:b/>
          <w:color w:val="000000"/>
          <w:kern w:val="0"/>
          <w:sz w:val="24"/>
        </w:rPr>
        <w:t>一、本期业绩预告情况</w:t>
      </w:r>
    </w:p>
    <w:p w:rsidR="00770ABA" w:rsidRPr="00770ABA" w:rsidRDefault="00770ABA" w:rsidP="00770ABA">
      <w:pPr>
        <w:widowControl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770ABA">
        <w:rPr>
          <w:rFonts w:ascii="宋体" w:hAnsi="宋体" w:cs="宋体" w:hint="eastAsia"/>
          <w:color w:val="000000"/>
          <w:kern w:val="0"/>
          <w:sz w:val="24"/>
        </w:rPr>
        <w:t>（一）业绩预告期间</w:t>
      </w:r>
    </w:p>
    <w:p w:rsidR="00770ABA" w:rsidRPr="00770ABA" w:rsidRDefault="00770ABA" w:rsidP="00770ABA">
      <w:pPr>
        <w:widowControl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20</w:t>
      </w:r>
      <w:r w:rsidR="00CE5387">
        <w:rPr>
          <w:rFonts w:ascii="宋体" w:hAnsi="宋体" w:cs="宋体" w:hint="eastAsia"/>
          <w:color w:val="000000"/>
          <w:kern w:val="0"/>
          <w:sz w:val="24"/>
        </w:rPr>
        <w:t>2</w:t>
      </w:r>
      <w:r w:rsidR="005B3E6E">
        <w:rPr>
          <w:rFonts w:ascii="宋体" w:hAnsi="宋体" w:cs="宋体" w:hint="eastAsia"/>
          <w:color w:val="000000"/>
          <w:kern w:val="0"/>
          <w:sz w:val="24"/>
        </w:rPr>
        <w:t>2</w:t>
      </w:r>
      <w:r w:rsidRPr="00770ABA">
        <w:rPr>
          <w:rFonts w:ascii="宋体" w:hAnsi="宋体" w:cs="宋体" w:hint="eastAsia"/>
          <w:color w:val="000000"/>
          <w:kern w:val="0"/>
          <w:sz w:val="24"/>
        </w:rPr>
        <w:t>年</w:t>
      </w:r>
      <w:r w:rsidRPr="00770ABA">
        <w:rPr>
          <w:rFonts w:ascii="宋体" w:hAnsi="宋体" w:cs="宋体"/>
          <w:color w:val="000000"/>
          <w:kern w:val="0"/>
          <w:sz w:val="24"/>
        </w:rPr>
        <w:t>1</w:t>
      </w:r>
      <w:r w:rsidRPr="00770ABA">
        <w:rPr>
          <w:rFonts w:ascii="宋体" w:hAnsi="宋体" w:cs="宋体" w:hint="eastAsia"/>
          <w:color w:val="000000"/>
          <w:kern w:val="0"/>
          <w:sz w:val="24"/>
        </w:rPr>
        <w:t>月</w:t>
      </w:r>
      <w:r w:rsidRPr="00770ABA">
        <w:rPr>
          <w:rFonts w:ascii="宋体" w:hAnsi="宋体" w:cs="宋体"/>
          <w:color w:val="000000"/>
          <w:kern w:val="0"/>
          <w:sz w:val="24"/>
        </w:rPr>
        <w:t>1</w:t>
      </w:r>
      <w:r w:rsidRPr="00770ABA">
        <w:rPr>
          <w:rFonts w:ascii="宋体" w:hAnsi="宋体" w:cs="宋体" w:hint="eastAsia"/>
          <w:color w:val="000000"/>
          <w:kern w:val="0"/>
          <w:sz w:val="24"/>
        </w:rPr>
        <w:t>日至</w:t>
      </w:r>
      <w:r>
        <w:rPr>
          <w:rFonts w:ascii="宋体" w:hAnsi="宋体" w:cs="宋体" w:hint="eastAsia"/>
          <w:color w:val="000000"/>
          <w:kern w:val="0"/>
          <w:sz w:val="24"/>
        </w:rPr>
        <w:t>20</w:t>
      </w:r>
      <w:r w:rsidR="00CE5387">
        <w:rPr>
          <w:rFonts w:ascii="宋体" w:hAnsi="宋体" w:cs="宋体" w:hint="eastAsia"/>
          <w:color w:val="000000"/>
          <w:kern w:val="0"/>
          <w:sz w:val="24"/>
        </w:rPr>
        <w:t>2</w:t>
      </w:r>
      <w:r w:rsidR="005B3E6E">
        <w:rPr>
          <w:rFonts w:ascii="宋体" w:hAnsi="宋体" w:cs="宋体" w:hint="eastAsia"/>
          <w:color w:val="000000"/>
          <w:kern w:val="0"/>
          <w:sz w:val="24"/>
        </w:rPr>
        <w:t>2</w:t>
      </w:r>
      <w:r w:rsidRPr="00770ABA">
        <w:rPr>
          <w:rFonts w:ascii="宋体" w:hAnsi="宋体" w:cs="宋体" w:hint="eastAsia"/>
          <w:color w:val="000000"/>
          <w:kern w:val="0"/>
          <w:sz w:val="24"/>
        </w:rPr>
        <w:t>年</w:t>
      </w:r>
      <w:r w:rsidRPr="00770ABA">
        <w:rPr>
          <w:rFonts w:ascii="宋体" w:hAnsi="宋体" w:cs="宋体"/>
          <w:color w:val="000000"/>
          <w:kern w:val="0"/>
          <w:sz w:val="24"/>
        </w:rPr>
        <w:t>12</w:t>
      </w:r>
      <w:r w:rsidRPr="00770ABA">
        <w:rPr>
          <w:rFonts w:ascii="宋体" w:hAnsi="宋体" w:cs="宋体" w:hint="eastAsia"/>
          <w:color w:val="000000"/>
          <w:kern w:val="0"/>
          <w:sz w:val="24"/>
        </w:rPr>
        <w:t>月</w:t>
      </w:r>
      <w:r w:rsidRPr="00770ABA">
        <w:rPr>
          <w:rFonts w:ascii="宋体" w:hAnsi="宋体" w:cs="宋体"/>
          <w:color w:val="000000"/>
          <w:kern w:val="0"/>
          <w:sz w:val="24"/>
        </w:rPr>
        <w:t>31</w:t>
      </w:r>
      <w:r w:rsidRPr="00770ABA">
        <w:rPr>
          <w:rFonts w:ascii="宋体" w:hAnsi="宋体" w:cs="宋体" w:hint="eastAsia"/>
          <w:color w:val="000000"/>
          <w:kern w:val="0"/>
          <w:sz w:val="24"/>
        </w:rPr>
        <w:t>日。</w:t>
      </w:r>
    </w:p>
    <w:p w:rsidR="00770ABA" w:rsidRPr="00770ABA" w:rsidRDefault="00770ABA" w:rsidP="00770ABA">
      <w:pPr>
        <w:widowControl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770ABA">
        <w:rPr>
          <w:rFonts w:ascii="宋体" w:hAnsi="宋体" w:cs="宋体" w:hint="eastAsia"/>
          <w:color w:val="000000"/>
          <w:kern w:val="0"/>
          <w:sz w:val="24"/>
        </w:rPr>
        <w:t>（二）业绩预告情况</w:t>
      </w:r>
    </w:p>
    <w:p w:rsidR="00CE0768" w:rsidRDefault="00770ABA" w:rsidP="00954F29">
      <w:pPr>
        <w:widowControl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770ABA">
        <w:rPr>
          <w:rFonts w:ascii="宋体" w:hAnsi="宋体" w:cs="宋体" w:hint="eastAsia"/>
          <w:color w:val="000000"/>
          <w:kern w:val="0"/>
          <w:sz w:val="24"/>
        </w:rPr>
        <w:t>1.</w:t>
      </w:r>
      <w:r w:rsidR="00CE0768" w:rsidRPr="00CE0768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="00CE0768" w:rsidRPr="00770ABA">
        <w:rPr>
          <w:rFonts w:ascii="宋体" w:hAnsi="宋体" w:cs="宋体" w:hint="eastAsia"/>
          <w:color w:val="000000"/>
          <w:kern w:val="0"/>
          <w:sz w:val="24"/>
        </w:rPr>
        <w:t>经财务部门初步测算，预计</w:t>
      </w:r>
      <w:r w:rsidR="00CE0768">
        <w:rPr>
          <w:rFonts w:ascii="宋体" w:hAnsi="宋体" w:cs="宋体" w:hint="eastAsia"/>
          <w:color w:val="000000"/>
          <w:kern w:val="0"/>
          <w:sz w:val="24"/>
        </w:rPr>
        <w:t>2022</w:t>
      </w:r>
      <w:r w:rsidR="00CE0768" w:rsidRPr="00770ABA">
        <w:rPr>
          <w:rFonts w:ascii="宋体" w:hAnsi="宋体" w:cs="宋体" w:hint="eastAsia"/>
          <w:color w:val="000000"/>
          <w:kern w:val="0"/>
          <w:sz w:val="24"/>
        </w:rPr>
        <w:t>年度实现归属于上市公司股东的净利润</w:t>
      </w:r>
      <w:r w:rsidR="00CE0768">
        <w:rPr>
          <w:rFonts w:ascii="宋体" w:hAnsi="宋体" w:cs="宋体" w:hint="eastAsia"/>
          <w:color w:val="000000"/>
          <w:kern w:val="0"/>
          <w:sz w:val="24"/>
        </w:rPr>
        <w:t>为</w:t>
      </w:r>
      <w:r w:rsidR="00CE0768" w:rsidRPr="00F85A63">
        <w:rPr>
          <w:rFonts w:ascii="宋体" w:hAnsi="宋体" w:cs="宋体" w:hint="eastAsia"/>
          <w:color w:val="000000"/>
          <w:kern w:val="0"/>
          <w:sz w:val="24"/>
        </w:rPr>
        <w:t>41,570万元到42,570万元，与上年同期</w:t>
      </w:r>
      <w:r w:rsidR="00CE0768">
        <w:rPr>
          <w:rFonts w:ascii="宋体" w:hAnsi="宋体" w:cs="宋体" w:hint="eastAsia"/>
          <w:color w:val="000000"/>
          <w:kern w:val="0"/>
          <w:sz w:val="24"/>
        </w:rPr>
        <w:t>（法定披露数据）</w:t>
      </w:r>
      <w:r w:rsidR="00CE0768" w:rsidRPr="00F85A63">
        <w:rPr>
          <w:rFonts w:ascii="宋体" w:hAnsi="宋体" w:cs="宋体" w:hint="eastAsia"/>
          <w:color w:val="000000"/>
          <w:kern w:val="0"/>
          <w:sz w:val="24"/>
        </w:rPr>
        <w:t>相比，预计增加19,542万元到20,542万元，同比增加88.71</w:t>
      </w:r>
      <w:r w:rsidR="00CE0768" w:rsidRPr="00F85A63">
        <w:rPr>
          <w:rFonts w:ascii="宋体" w:hAnsi="宋体" w:cs="宋体"/>
          <w:color w:val="000000"/>
          <w:kern w:val="0"/>
          <w:sz w:val="24"/>
        </w:rPr>
        <w:t>%</w:t>
      </w:r>
      <w:r w:rsidR="00CE0768" w:rsidRPr="00F85A63">
        <w:rPr>
          <w:rFonts w:ascii="宋体" w:hAnsi="宋体" w:cs="宋体" w:hint="eastAsia"/>
          <w:color w:val="000000"/>
          <w:kern w:val="0"/>
          <w:sz w:val="24"/>
        </w:rPr>
        <w:t>到93.25</w:t>
      </w:r>
      <w:r w:rsidR="00CE0768" w:rsidRPr="00F85A63">
        <w:rPr>
          <w:rFonts w:ascii="宋体" w:hAnsi="宋体" w:cs="宋体"/>
          <w:color w:val="000000"/>
          <w:kern w:val="0"/>
          <w:sz w:val="24"/>
        </w:rPr>
        <w:t>%</w:t>
      </w:r>
      <w:r w:rsidR="00CE0768" w:rsidRPr="00F85A63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CE0768" w:rsidRDefault="00CE0768" w:rsidP="00CE0768">
      <w:pPr>
        <w:widowControl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2.</w:t>
      </w:r>
      <w:r w:rsidRPr="002C5360"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cs="宋体" w:hint="eastAsia"/>
          <w:kern w:val="0"/>
          <w:sz w:val="24"/>
        </w:rPr>
        <w:t>预计</w:t>
      </w:r>
      <w:r>
        <w:rPr>
          <w:rFonts w:cs="宋体" w:hint="eastAsia"/>
          <w:kern w:val="0"/>
          <w:sz w:val="24"/>
        </w:rPr>
        <w:t>2022</w:t>
      </w:r>
      <w:r>
        <w:rPr>
          <w:rFonts w:cs="宋体" w:hint="eastAsia"/>
          <w:kern w:val="0"/>
          <w:sz w:val="24"/>
        </w:rPr>
        <w:t>年</w:t>
      </w:r>
      <w:r w:rsidRPr="00F85A63">
        <w:rPr>
          <w:rFonts w:cs="宋体" w:hint="eastAsia"/>
          <w:kern w:val="0"/>
          <w:sz w:val="24"/>
        </w:rPr>
        <w:t>归属于上市公司股东的扣除非经常性损益的净利润为</w:t>
      </w:r>
      <w:r w:rsidRPr="00287D0B">
        <w:rPr>
          <w:rFonts w:ascii="宋体" w:hAnsi="宋体" w:cs="宋体" w:hint="eastAsia"/>
          <w:color w:val="000000"/>
          <w:kern w:val="0"/>
          <w:sz w:val="24"/>
        </w:rPr>
        <w:t>41,350</w:t>
      </w:r>
      <w:r w:rsidRPr="00F85A63">
        <w:rPr>
          <w:rFonts w:cs="宋体" w:hint="eastAsia"/>
          <w:kern w:val="0"/>
          <w:sz w:val="24"/>
        </w:rPr>
        <w:t>万元到</w:t>
      </w:r>
      <w:r w:rsidRPr="00287D0B">
        <w:rPr>
          <w:rFonts w:ascii="宋体" w:hAnsi="宋体" w:cs="宋体" w:hint="eastAsia"/>
          <w:color w:val="000000"/>
          <w:kern w:val="0"/>
          <w:sz w:val="24"/>
        </w:rPr>
        <w:t>42,350</w:t>
      </w:r>
      <w:r w:rsidRPr="00F85A63">
        <w:rPr>
          <w:rFonts w:cs="宋体" w:hint="eastAsia"/>
          <w:kern w:val="0"/>
          <w:sz w:val="24"/>
        </w:rPr>
        <w:t>万元，与上年同期</w:t>
      </w:r>
      <w:r>
        <w:rPr>
          <w:rFonts w:cs="宋体" w:hint="eastAsia"/>
          <w:kern w:val="0"/>
          <w:sz w:val="24"/>
        </w:rPr>
        <w:t>（法定披露数据）</w:t>
      </w:r>
      <w:r w:rsidRPr="00F85A63">
        <w:rPr>
          <w:rFonts w:cs="宋体" w:hint="eastAsia"/>
          <w:kern w:val="0"/>
          <w:sz w:val="24"/>
        </w:rPr>
        <w:t>相比，</w:t>
      </w:r>
      <w:r>
        <w:rPr>
          <w:rFonts w:cs="宋体" w:hint="eastAsia"/>
          <w:kern w:val="0"/>
          <w:sz w:val="24"/>
        </w:rPr>
        <w:t>预计</w:t>
      </w:r>
      <w:r w:rsidRPr="00F85A63">
        <w:rPr>
          <w:rFonts w:cs="宋体" w:hint="eastAsia"/>
          <w:kern w:val="0"/>
          <w:sz w:val="24"/>
        </w:rPr>
        <w:t>增加</w:t>
      </w:r>
      <w:r w:rsidRPr="00877874">
        <w:rPr>
          <w:rFonts w:ascii="宋体" w:hAnsi="宋体" w:cs="宋体" w:hint="eastAsia"/>
          <w:color w:val="000000"/>
          <w:kern w:val="0"/>
          <w:sz w:val="24"/>
        </w:rPr>
        <w:t>20,987万元到21,987万元，</w:t>
      </w:r>
      <w:r w:rsidRPr="00F85A63">
        <w:rPr>
          <w:rFonts w:ascii="宋体" w:hAnsi="宋体" w:cs="宋体" w:hint="eastAsia"/>
          <w:color w:val="000000"/>
          <w:kern w:val="0"/>
          <w:sz w:val="24"/>
        </w:rPr>
        <w:t>同比增加</w:t>
      </w:r>
      <w:r>
        <w:rPr>
          <w:rFonts w:ascii="宋体" w:hAnsi="宋体" w:cs="宋体" w:hint="eastAsia"/>
          <w:color w:val="000000"/>
          <w:kern w:val="0"/>
          <w:sz w:val="24"/>
        </w:rPr>
        <w:t>103.06</w:t>
      </w:r>
      <w:r w:rsidRPr="00F85A63">
        <w:rPr>
          <w:rFonts w:ascii="宋体" w:hAnsi="宋体" w:cs="宋体"/>
          <w:color w:val="000000"/>
          <w:kern w:val="0"/>
          <w:sz w:val="24"/>
        </w:rPr>
        <w:t>%</w:t>
      </w:r>
      <w:r w:rsidRPr="00F85A63">
        <w:rPr>
          <w:rFonts w:ascii="宋体" w:hAnsi="宋体" w:cs="宋体" w:hint="eastAsia"/>
          <w:color w:val="000000"/>
          <w:kern w:val="0"/>
          <w:sz w:val="24"/>
        </w:rPr>
        <w:t>到</w:t>
      </w:r>
      <w:r>
        <w:rPr>
          <w:rFonts w:ascii="宋体" w:hAnsi="宋体" w:cs="宋体" w:hint="eastAsia"/>
          <w:color w:val="000000"/>
          <w:kern w:val="0"/>
          <w:sz w:val="24"/>
        </w:rPr>
        <w:t>107.97</w:t>
      </w:r>
      <w:r w:rsidRPr="00F85A63">
        <w:rPr>
          <w:rFonts w:ascii="宋体" w:hAnsi="宋体" w:cs="宋体"/>
          <w:color w:val="000000"/>
          <w:kern w:val="0"/>
          <w:sz w:val="24"/>
        </w:rPr>
        <w:t>%</w:t>
      </w:r>
      <w:r w:rsidRPr="0087787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FE054B" w:rsidRDefault="00CE0768" w:rsidP="00954F29">
      <w:pPr>
        <w:widowControl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3.</w:t>
      </w:r>
      <w:r w:rsidR="00FE054B" w:rsidRPr="00FE054B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="00FE054B">
        <w:rPr>
          <w:rFonts w:ascii="宋体" w:hAnsi="宋体" w:cs="宋体" w:hint="eastAsia"/>
          <w:color w:val="000000"/>
          <w:kern w:val="0"/>
          <w:sz w:val="24"/>
        </w:rPr>
        <w:t>由于公司2022年执行</w:t>
      </w:r>
      <w:r w:rsidR="00FE054B" w:rsidRPr="001E5EE6">
        <w:rPr>
          <w:rFonts w:cs="宋体"/>
          <w:kern w:val="0"/>
          <w:sz w:val="24"/>
        </w:rPr>
        <w:t>财政部颁布</w:t>
      </w:r>
      <w:r w:rsidR="00FE054B">
        <w:rPr>
          <w:rFonts w:cs="宋体" w:hint="eastAsia"/>
          <w:kern w:val="0"/>
          <w:sz w:val="24"/>
        </w:rPr>
        <w:t>的</w:t>
      </w:r>
      <w:r w:rsidR="00FE054B" w:rsidRPr="001E5EE6">
        <w:rPr>
          <w:rFonts w:cs="宋体"/>
          <w:kern w:val="0"/>
          <w:sz w:val="24"/>
        </w:rPr>
        <w:t>《企业会计准则解释第</w:t>
      </w:r>
      <w:r w:rsidR="00FE054B" w:rsidRPr="001E5EE6">
        <w:rPr>
          <w:rFonts w:ascii="宋体" w:hAnsi="宋体" w:cs="宋体"/>
          <w:kern w:val="0"/>
          <w:sz w:val="24"/>
        </w:rPr>
        <w:t>15</w:t>
      </w:r>
      <w:r w:rsidR="00FE054B" w:rsidRPr="001E5EE6">
        <w:rPr>
          <w:rFonts w:cs="宋体"/>
          <w:kern w:val="0"/>
          <w:sz w:val="24"/>
        </w:rPr>
        <w:t>号》</w:t>
      </w:r>
      <w:r w:rsidR="00FE054B">
        <w:rPr>
          <w:rFonts w:cs="宋体" w:hint="eastAsia"/>
          <w:kern w:val="0"/>
          <w:sz w:val="24"/>
        </w:rPr>
        <w:t>，涉及会计政策变更，</w:t>
      </w:r>
      <w:r w:rsidR="00FE054B" w:rsidRPr="00287D0B">
        <w:rPr>
          <w:rFonts w:ascii="宋体" w:hAnsi="宋体" w:cs="宋体"/>
          <w:kern w:val="0"/>
          <w:sz w:val="24"/>
        </w:rPr>
        <w:t>公司需</w:t>
      </w:r>
      <w:proofErr w:type="gramStart"/>
      <w:r w:rsidR="00FE054B" w:rsidRPr="00287D0B">
        <w:rPr>
          <w:rFonts w:ascii="宋体" w:hAnsi="宋体" w:cs="宋体"/>
          <w:kern w:val="0"/>
          <w:sz w:val="24"/>
        </w:rPr>
        <w:t>对</w:t>
      </w:r>
      <w:r w:rsidR="00FE054B">
        <w:rPr>
          <w:rFonts w:ascii="宋体" w:hAnsi="宋体" w:cs="宋体" w:hint="eastAsia"/>
          <w:kern w:val="0"/>
          <w:sz w:val="24"/>
        </w:rPr>
        <w:t>上年</w:t>
      </w:r>
      <w:proofErr w:type="gramEnd"/>
      <w:r w:rsidR="00FE054B">
        <w:rPr>
          <w:rFonts w:ascii="宋体" w:hAnsi="宋体" w:cs="宋体" w:hint="eastAsia"/>
          <w:kern w:val="0"/>
          <w:sz w:val="24"/>
        </w:rPr>
        <w:t>同期</w:t>
      </w:r>
      <w:r w:rsidR="00FE054B">
        <w:rPr>
          <w:rFonts w:cs="宋体" w:hint="eastAsia"/>
          <w:kern w:val="0"/>
          <w:sz w:val="24"/>
        </w:rPr>
        <w:t>财务数据</w:t>
      </w:r>
      <w:r w:rsidR="00FE054B" w:rsidRPr="001E5EE6">
        <w:rPr>
          <w:rFonts w:cs="宋体"/>
          <w:kern w:val="0"/>
          <w:sz w:val="24"/>
        </w:rPr>
        <w:t>进行</w:t>
      </w:r>
      <w:r w:rsidR="00FE054B">
        <w:rPr>
          <w:rFonts w:cs="宋体" w:hint="eastAsia"/>
          <w:kern w:val="0"/>
          <w:sz w:val="24"/>
        </w:rPr>
        <w:t>追溯</w:t>
      </w:r>
      <w:r w:rsidR="00FE054B" w:rsidRPr="001E5EE6">
        <w:rPr>
          <w:rFonts w:cs="宋体"/>
          <w:kern w:val="0"/>
          <w:sz w:val="24"/>
        </w:rPr>
        <w:t>调整，</w:t>
      </w:r>
      <w:r w:rsidR="00FE054B">
        <w:rPr>
          <w:rFonts w:cs="宋体" w:hint="eastAsia"/>
          <w:kern w:val="0"/>
          <w:sz w:val="24"/>
        </w:rPr>
        <w:t>经财务部门初步测算，</w:t>
      </w:r>
      <w:r w:rsidR="00521742">
        <w:rPr>
          <w:rFonts w:cs="宋体" w:hint="eastAsia"/>
          <w:kern w:val="0"/>
          <w:sz w:val="24"/>
        </w:rPr>
        <w:t>调整</w:t>
      </w:r>
      <w:proofErr w:type="gramStart"/>
      <w:r w:rsidR="00521742">
        <w:rPr>
          <w:rFonts w:cs="宋体" w:hint="eastAsia"/>
          <w:kern w:val="0"/>
          <w:sz w:val="24"/>
        </w:rPr>
        <w:t>后上年</w:t>
      </w:r>
      <w:proofErr w:type="gramEnd"/>
      <w:r w:rsidR="00521742">
        <w:rPr>
          <w:rFonts w:cs="宋体" w:hint="eastAsia"/>
          <w:kern w:val="0"/>
          <w:sz w:val="24"/>
        </w:rPr>
        <w:t>同期归属于上市公司股东的净利润为</w:t>
      </w:r>
      <w:r w:rsidR="00521742">
        <w:rPr>
          <w:rFonts w:cs="宋体" w:hint="eastAsia"/>
          <w:kern w:val="0"/>
          <w:sz w:val="24"/>
        </w:rPr>
        <w:t>528</w:t>
      </w:r>
      <w:r w:rsidR="00521742">
        <w:rPr>
          <w:rFonts w:cs="宋体" w:hint="eastAsia"/>
          <w:kern w:val="0"/>
          <w:sz w:val="24"/>
        </w:rPr>
        <w:t>万元，</w:t>
      </w:r>
      <w:r w:rsidR="00FE054B">
        <w:rPr>
          <w:rFonts w:ascii="宋体" w:hAnsi="宋体" w:cs="宋体" w:hint="eastAsia"/>
          <w:color w:val="000000"/>
          <w:kern w:val="0"/>
          <w:sz w:val="24"/>
        </w:rPr>
        <w:t>预计2022</w:t>
      </w:r>
      <w:r w:rsidR="00FE054B" w:rsidRPr="00770ABA">
        <w:rPr>
          <w:rFonts w:ascii="宋体" w:hAnsi="宋体" w:cs="宋体" w:hint="eastAsia"/>
          <w:color w:val="000000"/>
          <w:kern w:val="0"/>
          <w:sz w:val="24"/>
        </w:rPr>
        <w:t>年度实现归属于上市公司股东的净利润</w:t>
      </w:r>
      <w:r w:rsidR="00FE054B" w:rsidRPr="00877874">
        <w:rPr>
          <w:rFonts w:ascii="宋体" w:hAnsi="宋体" w:cs="宋体" w:hint="eastAsia"/>
          <w:color w:val="000000"/>
          <w:kern w:val="0"/>
          <w:sz w:val="24"/>
        </w:rPr>
        <w:t>与</w:t>
      </w:r>
      <w:r w:rsidR="00FE054B">
        <w:rPr>
          <w:rFonts w:ascii="宋体" w:hAnsi="宋体" w:cs="宋体" w:hint="eastAsia"/>
          <w:color w:val="000000"/>
          <w:kern w:val="0"/>
          <w:sz w:val="24"/>
        </w:rPr>
        <w:t>上年同期追溯调整后的财务数据相比，将增加41,042万元到42,042万元。</w:t>
      </w:r>
    </w:p>
    <w:p w:rsidR="00770ABA" w:rsidRPr="00770ABA" w:rsidRDefault="00770ABA" w:rsidP="00770ABA">
      <w:pPr>
        <w:widowControl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770ABA">
        <w:rPr>
          <w:rFonts w:ascii="宋体" w:hAnsi="宋体" w:cs="宋体" w:hint="eastAsia"/>
          <w:color w:val="000000"/>
          <w:kern w:val="0"/>
          <w:sz w:val="24"/>
        </w:rPr>
        <w:lastRenderedPageBreak/>
        <w:t>（三）</w:t>
      </w:r>
      <w:r w:rsidR="00280D18">
        <w:rPr>
          <w:rFonts w:ascii="宋体" w:hAnsi="宋体" w:cs="宋体" w:hint="eastAsia"/>
          <w:color w:val="000000"/>
          <w:kern w:val="0"/>
          <w:sz w:val="24"/>
        </w:rPr>
        <w:t>本次预计</w:t>
      </w:r>
      <w:r w:rsidR="00280D18">
        <w:rPr>
          <w:rFonts w:ascii="宋体" w:hAnsi="宋体" w:cs="宋体"/>
          <w:color w:val="000000"/>
          <w:kern w:val="0"/>
          <w:sz w:val="24"/>
        </w:rPr>
        <w:t>的业绩未经</w:t>
      </w:r>
      <w:r w:rsidR="00280D18">
        <w:rPr>
          <w:rFonts w:ascii="宋体" w:hAnsi="宋体" w:cs="宋体" w:hint="eastAsia"/>
          <w:color w:val="000000"/>
          <w:kern w:val="0"/>
          <w:sz w:val="24"/>
        </w:rPr>
        <w:t>注册</w:t>
      </w:r>
      <w:r w:rsidR="00280D18">
        <w:rPr>
          <w:rFonts w:ascii="宋体" w:hAnsi="宋体" w:cs="宋体"/>
          <w:color w:val="000000"/>
          <w:kern w:val="0"/>
          <w:sz w:val="24"/>
        </w:rPr>
        <w:t>会计师</w:t>
      </w:r>
      <w:r w:rsidR="00280D18">
        <w:rPr>
          <w:rFonts w:ascii="宋体" w:hAnsi="宋体" w:cs="宋体" w:hint="eastAsia"/>
          <w:color w:val="000000"/>
          <w:kern w:val="0"/>
          <w:sz w:val="24"/>
        </w:rPr>
        <w:t>审计</w:t>
      </w:r>
      <w:r w:rsidRPr="00770ABA">
        <w:rPr>
          <w:rFonts w:ascii="宋体" w:hAnsi="宋体" w:cs="宋体" w:hint="eastAsia"/>
          <w:color w:val="000000"/>
          <w:kern w:val="0"/>
          <w:sz w:val="24"/>
        </w:rPr>
        <w:t>。</w:t>
      </w:r>
      <w:r w:rsidRPr="00770ABA">
        <w:rPr>
          <w:rFonts w:ascii="宋体" w:hAnsi="宋体" w:cs="宋体"/>
          <w:color w:val="000000"/>
          <w:kern w:val="0"/>
          <w:sz w:val="24"/>
        </w:rPr>
        <w:t> </w:t>
      </w:r>
    </w:p>
    <w:p w:rsidR="00770ABA" w:rsidRPr="00770ABA" w:rsidRDefault="00770ABA" w:rsidP="00770ABA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770ABA">
        <w:rPr>
          <w:rFonts w:ascii="宋体" w:hAnsi="宋体" w:cs="宋体" w:hint="eastAsia"/>
          <w:b/>
          <w:color w:val="000000"/>
          <w:kern w:val="0"/>
          <w:sz w:val="24"/>
        </w:rPr>
        <w:t xml:space="preserve">    二、上年同期业绩情况</w:t>
      </w:r>
    </w:p>
    <w:p w:rsidR="001E5EE6" w:rsidRDefault="001E5EE6" w:rsidP="00770ABA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2021年经审计，</w:t>
      </w:r>
      <w:r w:rsidR="00CE5387">
        <w:rPr>
          <w:rFonts w:ascii="宋体" w:hAnsi="宋体" w:cs="宋体" w:hint="eastAsia"/>
          <w:color w:val="000000"/>
          <w:kern w:val="0"/>
          <w:sz w:val="24"/>
        </w:rPr>
        <w:t>归属于上市公司股东的净利润：</w:t>
      </w:r>
      <w:r w:rsidR="005B3E6E">
        <w:rPr>
          <w:rFonts w:ascii="宋体" w:hAnsi="宋体" w:cs="宋体" w:hint="eastAsia"/>
          <w:color w:val="000000"/>
          <w:kern w:val="0"/>
          <w:sz w:val="24"/>
        </w:rPr>
        <w:t>22</w:t>
      </w:r>
      <w:r w:rsidR="00CE5387">
        <w:rPr>
          <w:rFonts w:ascii="宋体" w:hAnsi="宋体" w:cs="宋体" w:hint="eastAsia"/>
          <w:color w:val="000000"/>
          <w:kern w:val="0"/>
          <w:sz w:val="24"/>
        </w:rPr>
        <w:t>,</w:t>
      </w:r>
      <w:r w:rsidR="005B3E6E">
        <w:rPr>
          <w:rFonts w:ascii="宋体" w:hAnsi="宋体" w:cs="宋体" w:hint="eastAsia"/>
          <w:color w:val="000000"/>
          <w:kern w:val="0"/>
          <w:sz w:val="24"/>
        </w:rPr>
        <w:t>028.10</w:t>
      </w:r>
      <w:r w:rsidR="006242BA">
        <w:rPr>
          <w:rFonts w:ascii="宋体" w:hAnsi="宋体" w:cs="宋体" w:hint="eastAsia"/>
          <w:color w:val="000000"/>
          <w:kern w:val="0"/>
          <w:sz w:val="24"/>
        </w:rPr>
        <w:t>万元；</w:t>
      </w:r>
      <w:r w:rsidR="00770ABA" w:rsidRPr="00770ABA">
        <w:rPr>
          <w:rFonts w:ascii="宋体" w:hAnsi="宋体" w:cs="宋体" w:hint="eastAsia"/>
          <w:color w:val="000000"/>
          <w:kern w:val="0"/>
          <w:sz w:val="24"/>
        </w:rPr>
        <w:t>归属于上市公司股东的扣除非经常性损益的净利润：</w:t>
      </w:r>
      <w:r w:rsidR="005B3E6E">
        <w:rPr>
          <w:rFonts w:ascii="宋体" w:hAnsi="宋体" w:cs="宋体" w:hint="eastAsia"/>
          <w:color w:val="000000"/>
          <w:kern w:val="0"/>
          <w:sz w:val="24"/>
        </w:rPr>
        <w:t>20,363.71</w:t>
      </w:r>
      <w:r w:rsidR="00770ABA" w:rsidRPr="00770ABA">
        <w:rPr>
          <w:rFonts w:ascii="宋体" w:hAnsi="宋体" w:cs="宋体" w:hint="eastAsia"/>
          <w:color w:val="000000"/>
          <w:kern w:val="0"/>
          <w:sz w:val="24"/>
        </w:rPr>
        <w:t>万元</w:t>
      </w:r>
      <w:r>
        <w:rPr>
          <w:rFonts w:ascii="宋体" w:hAnsi="宋体" w:cs="宋体" w:hint="eastAsia"/>
          <w:color w:val="000000"/>
          <w:kern w:val="0"/>
          <w:sz w:val="24"/>
        </w:rPr>
        <w:t>；</w:t>
      </w:r>
      <w:r w:rsidR="00352189" w:rsidRPr="00770ABA">
        <w:rPr>
          <w:rFonts w:ascii="宋体" w:hAnsi="宋体" w:cs="宋体" w:hint="eastAsia"/>
          <w:color w:val="000000"/>
          <w:kern w:val="0"/>
          <w:sz w:val="24"/>
        </w:rPr>
        <w:t>每股收益：</w:t>
      </w:r>
      <w:r w:rsidR="00352189">
        <w:rPr>
          <w:rFonts w:ascii="宋体" w:hAnsi="宋体" w:cs="宋体" w:hint="eastAsia"/>
          <w:color w:val="000000"/>
          <w:kern w:val="0"/>
          <w:sz w:val="24"/>
        </w:rPr>
        <w:t>0.5347元。</w:t>
      </w:r>
    </w:p>
    <w:p w:rsidR="00770ABA" w:rsidRPr="00770ABA" w:rsidRDefault="00770ABA" w:rsidP="00770ABA">
      <w:pPr>
        <w:widowControl/>
        <w:spacing w:line="360" w:lineRule="auto"/>
        <w:ind w:firstLine="480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770ABA">
        <w:rPr>
          <w:rFonts w:ascii="宋体" w:hAnsi="宋体" w:cs="宋体" w:hint="eastAsia"/>
          <w:b/>
          <w:color w:val="000000"/>
          <w:kern w:val="0"/>
          <w:sz w:val="24"/>
        </w:rPr>
        <w:t>三、本期</w:t>
      </w:r>
      <w:proofErr w:type="gramStart"/>
      <w:r w:rsidRPr="00770ABA">
        <w:rPr>
          <w:rFonts w:ascii="宋体" w:hAnsi="宋体" w:cs="宋体" w:hint="eastAsia"/>
          <w:b/>
          <w:color w:val="000000"/>
          <w:kern w:val="0"/>
          <w:sz w:val="24"/>
        </w:rPr>
        <w:t>业绩预增的</w:t>
      </w:r>
      <w:proofErr w:type="gramEnd"/>
      <w:r w:rsidRPr="00770ABA">
        <w:rPr>
          <w:rFonts w:ascii="宋体" w:hAnsi="宋体" w:cs="宋体" w:hint="eastAsia"/>
          <w:b/>
          <w:color w:val="000000"/>
          <w:kern w:val="0"/>
          <w:sz w:val="24"/>
        </w:rPr>
        <w:t>主要原因</w:t>
      </w:r>
    </w:p>
    <w:p w:rsidR="007F574C" w:rsidRDefault="007F574C" w:rsidP="00EE6DA8">
      <w:pPr>
        <w:widowControl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1、</w:t>
      </w:r>
      <w:r w:rsidR="00981C10">
        <w:rPr>
          <w:rFonts w:ascii="宋体" w:hAnsi="宋体" w:cs="宋体" w:hint="eastAsia"/>
          <w:color w:val="000000"/>
          <w:kern w:val="0"/>
          <w:sz w:val="24"/>
        </w:rPr>
        <w:t>在</w:t>
      </w:r>
      <w:r w:rsidR="00981C10">
        <w:rPr>
          <w:rFonts w:ascii="宋体" w:hAnsi="宋体" w:cs="宋体"/>
          <w:color w:val="000000"/>
          <w:kern w:val="0"/>
          <w:sz w:val="24"/>
        </w:rPr>
        <w:t>报告期内，公司</w:t>
      </w:r>
      <w:r w:rsidR="00981C10">
        <w:rPr>
          <w:rFonts w:ascii="宋体" w:hAnsi="宋体" w:cs="宋体" w:hint="eastAsia"/>
          <w:color w:val="000000"/>
          <w:kern w:val="0"/>
          <w:sz w:val="24"/>
        </w:rPr>
        <w:t>主营业务</w:t>
      </w:r>
      <w:r w:rsidR="00981C10">
        <w:rPr>
          <w:rFonts w:ascii="宋体" w:hAnsi="宋体" w:cs="宋体"/>
          <w:color w:val="000000"/>
          <w:kern w:val="0"/>
          <w:sz w:val="24"/>
        </w:rPr>
        <w:t>收入增长明显，公司主导产品</w:t>
      </w:r>
      <w:r w:rsidR="00981C10">
        <w:rPr>
          <w:rFonts w:ascii="宋体" w:hAnsi="宋体" w:cs="宋体" w:hint="eastAsia"/>
          <w:color w:val="000000"/>
          <w:kern w:val="0"/>
          <w:sz w:val="24"/>
        </w:rPr>
        <w:t>TDI</w:t>
      </w:r>
      <w:r w:rsidR="00981C10">
        <w:rPr>
          <w:rFonts w:ascii="宋体" w:hAnsi="宋体" w:cs="宋体"/>
          <w:color w:val="000000"/>
          <w:kern w:val="0"/>
          <w:sz w:val="24"/>
        </w:rPr>
        <w:t>平均</w:t>
      </w:r>
      <w:r w:rsidR="00981C10">
        <w:rPr>
          <w:rFonts w:ascii="宋体" w:hAnsi="宋体" w:cs="宋体" w:hint="eastAsia"/>
          <w:color w:val="000000"/>
          <w:kern w:val="0"/>
          <w:sz w:val="24"/>
        </w:rPr>
        <w:t>销售</w:t>
      </w:r>
      <w:r w:rsidR="00981C10">
        <w:rPr>
          <w:rFonts w:ascii="宋体" w:hAnsi="宋体" w:cs="宋体"/>
          <w:color w:val="000000"/>
          <w:kern w:val="0"/>
          <w:sz w:val="24"/>
        </w:rPr>
        <w:t>价格同比</w:t>
      </w:r>
      <w:r w:rsidR="0045343F">
        <w:rPr>
          <w:rFonts w:ascii="宋体" w:hAnsi="宋体" w:cs="宋体" w:hint="eastAsia"/>
          <w:color w:val="000000"/>
          <w:kern w:val="0"/>
          <w:sz w:val="24"/>
        </w:rPr>
        <w:t>有</w:t>
      </w:r>
      <w:r w:rsidR="0045343F">
        <w:rPr>
          <w:rFonts w:ascii="宋体" w:hAnsi="宋体" w:cs="宋体"/>
          <w:color w:val="000000"/>
          <w:kern w:val="0"/>
          <w:sz w:val="24"/>
        </w:rPr>
        <w:t>较</w:t>
      </w:r>
      <w:r w:rsidR="00981C10">
        <w:rPr>
          <w:rFonts w:ascii="宋体" w:hAnsi="宋体" w:cs="宋体"/>
          <w:color w:val="000000"/>
          <w:kern w:val="0"/>
          <w:sz w:val="24"/>
        </w:rPr>
        <w:t>大幅</w:t>
      </w:r>
      <w:r w:rsidR="0045343F">
        <w:rPr>
          <w:rFonts w:ascii="宋体" w:hAnsi="宋体" w:cs="宋体" w:hint="eastAsia"/>
          <w:color w:val="000000"/>
          <w:kern w:val="0"/>
          <w:sz w:val="24"/>
        </w:rPr>
        <w:t>度</w:t>
      </w:r>
      <w:r w:rsidR="00981C10">
        <w:rPr>
          <w:rFonts w:ascii="宋体" w:hAnsi="宋体" w:cs="宋体"/>
          <w:color w:val="000000"/>
          <w:kern w:val="0"/>
          <w:sz w:val="24"/>
        </w:rPr>
        <w:t>上涨，经营业绩大幅提升</w:t>
      </w:r>
      <w:r w:rsidR="00BA4CCD">
        <w:rPr>
          <w:rFonts w:ascii="宋体" w:hAnsi="宋体" w:cs="宋体" w:hint="eastAsia"/>
          <w:color w:val="000000"/>
          <w:kern w:val="0"/>
          <w:sz w:val="24"/>
        </w:rPr>
        <w:t>；</w:t>
      </w:r>
    </w:p>
    <w:p w:rsidR="00286B01" w:rsidRDefault="007F574C" w:rsidP="007F574C">
      <w:pPr>
        <w:widowControl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2、</w:t>
      </w:r>
      <w:r w:rsidR="00286B01">
        <w:rPr>
          <w:rFonts w:ascii="宋体" w:hAnsi="宋体" w:cs="宋体" w:hint="eastAsia"/>
          <w:color w:val="000000"/>
          <w:kern w:val="0"/>
          <w:sz w:val="24"/>
        </w:rPr>
        <w:t>随着</w:t>
      </w:r>
      <w:r w:rsidR="00BA4CCD">
        <w:rPr>
          <w:rFonts w:ascii="宋体" w:hAnsi="宋体" w:cs="宋体"/>
          <w:color w:val="000000"/>
          <w:kern w:val="0"/>
          <w:sz w:val="24"/>
        </w:rPr>
        <w:t>公司</w:t>
      </w:r>
      <w:r w:rsidR="00286B01">
        <w:rPr>
          <w:rFonts w:ascii="宋体" w:hAnsi="宋体" w:cs="宋体" w:hint="eastAsia"/>
          <w:color w:val="000000"/>
          <w:kern w:val="0"/>
          <w:sz w:val="24"/>
        </w:rPr>
        <w:t>智能化工厂建设的持续推进，生产和运营效率得到进一步提高，同时，公司积极实施多方面降本增效、精细化运营管理取得一定的效果，整体盈利能力得到提升。</w:t>
      </w:r>
    </w:p>
    <w:p w:rsidR="00770ABA" w:rsidRPr="00770ABA" w:rsidRDefault="00770ABA" w:rsidP="00770ABA">
      <w:pPr>
        <w:widowControl/>
        <w:spacing w:line="360" w:lineRule="auto"/>
        <w:ind w:firstLine="480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770ABA">
        <w:rPr>
          <w:rFonts w:ascii="宋体" w:hAnsi="宋体" w:cs="宋体" w:hint="eastAsia"/>
          <w:b/>
          <w:color w:val="000000"/>
          <w:kern w:val="0"/>
          <w:sz w:val="24"/>
        </w:rPr>
        <w:t>四、风险提示</w:t>
      </w:r>
    </w:p>
    <w:p w:rsidR="00770ABA" w:rsidRDefault="00C6297F" w:rsidP="00770ABA">
      <w:pPr>
        <w:widowControl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公司</w:t>
      </w:r>
      <w:r>
        <w:rPr>
          <w:rFonts w:ascii="宋体" w:hAnsi="宋体" w:cs="宋体"/>
          <w:color w:val="000000"/>
          <w:kern w:val="0"/>
          <w:sz w:val="24"/>
        </w:rPr>
        <w:t>本次预计业绩未经注册会计师审计，</w:t>
      </w:r>
      <w:r>
        <w:rPr>
          <w:rFonts w:ascii="宋体" w:hAnsi="宋体" w:cs="宋体" w:hint="eastAsia"/>
          <w:color w:val="000000"/>
          <w:kern w:val="0"/>
          <w:sz w:val="24"/>
        </w:rPr>
        <w:t>且</w:t>
      </w:r>
      <w:r>
        <w:rPr>
          <w:rFonts w:ascii="宋体" w:hAnsi="宋体" w:cs="宋体"/>
          <w:color w:val="000000"/>
          <w:kern w:val="0"/>
          <w:sz w:val="24"/>
        </w:rPr>
        <w:t>注册会计师</w:t>
      </w:r>
      <w:r>
        <w:rPr>
          <w:rFonts w:ascii="宋体" w:hAnsi="宋体" w:cs="宋体" w:hint="eastAsia"/>
          <w:color w:val="000000"/>
          <w:kern w:val="0"/>
          <w:sz w:val="24"/>
        </w:rPr>
        <w:t>未</w:t>
      </w:r>
      <w:r>
        <w:rPr>
          <w:rFonts w:ascii="宋体" w:hAnsi="宋体" w:cs="宋体"/>
          <w:color w:val="000000"/>
          <w:kern w:val="0"/>
          <w:sz w:val="24"/>
        </w:rPr>
        <w:t>对公</w:t>
      </w:r>
      <w:r>
        <w:rPr>
          <w:rFonts w:ascii="宋体" w:hAnsi="宋体" w:cs="宋体" w:hint="eastAsia"/>
          <w:color w:val="000000"/>
          <w:kern w:val="0"/>
          <w:sz w:val="24"/>
        </w:rPr>
        <w:t>司</w:t>
      </w:r>
      <w:r>
        <w:rPr>
          <w:rFonts w:ascii="宋体" w:hAnsi="宋体" w:cs="宋体"/>
          <w:color w:val="000000"/>
          <w:kern w:val="0"/>
          <w:sz w:val="24"/>
        </w:rPr>
        <w:t>本期业绩</w:t>
      </w:r>
      <w:proofErr w:type="gramStart"/>
      <w:r>
        <w:rPr>
          <w:rFonts w:ascii="宋体" w:hAnsi="宋体" w:cs="宋体"/>
          <w:color w:val="000000"/>
          <w:kern w:val="0"/>
          <w:sz w:val="24"/>
        </w:rPr>
        <w:t>预增是否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适当</w:t>
      </w:r>
      <w:r>
        <w:rPr>
          <w:rFonts w:ascii="宋体" w:hAnsi="宋体" w:cs="宋体"/>
          <w:color w:val="000000"/>
          <w:kern w:val="0"/>
          <w:sz w:val="24"/>
        </w:rPr>
        <w:t>和审慎出具专项说明。</w:t>
      </w:r>
    </w:p>
    <w:p w:rsidR="00C6297F" w:rsidRDefault="00C6297F" w:rsidP="00770ABA">
      <w:pPr>
        <w:widowControl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基于</w:t>
      </w:r>
      <w:r>
        <w:rPr>
          <w:rFonts w:ascii="宋体" w:hAnsi="宋体" w:cs="宋体"/>
          <w:color w:val="000000"/>
          <w:kern w:val="0"/>
          <w:sz w:val="24"/>
        </w:rPr>
        <w:t>公司财务部门自身专业判断以及与</w:t>
      </w:r>
      <w:r>
        <w:rPr>
          <w:rFonts w:ascii="宋体" w:hAnsi="宋体" w:cs="宋体" w:hint="eastAsia"/>
          <w:color w:val="000000"/>
          <w:kern w:val="0"/>
          <w:sz w:val="24"/>
        </w:rPr>
        <w:t>年审</w:t>
      </w:r>
      <w:r>
        <w:rPr>
          <w:rFonts w:ascii="宋体" w:hAnsi="宋体" w:cs="宋体"/>
          <w:color w:val="000000"/>
          <w:kern w:val="0"/>
          <w:sz w:val="24"/>
        </w:rPr>
        <w:t>会计师初步沟通</w:t>
      </w:r>
      <w:r>
        <w:rPr>
          <w:rFonts w:ascii="宋体" w:hAnsi="宋体" w:cs="宋体" w:hint="eastAsia"/>
          <w:color w:val="000000"/>
          <w:kern w:val="0"/>
          <w:sz w:val="24"/>
        </w:rPr>
        <w:t>后</w:t>
      </w:r>
      <w:r>
        <w:rPr>
          <w:rFonts w:ascii="宋体" w:hAnsi="宋体" w:cs="宋体"/>
          <w:color w:val="000000"/>
          <w:kern w:val="0"/>
          <w:sz w:val="24"/>
        </w:rPr>
        <w:t>的情况，董事会认为上述不确定因素对</w:t>
      </w:r>
      <w:r>
        <w:rPr>
          <w:rFonts w:ascii="宋体" w:hAnsi="宋体" w:cs="宋体" w:hint="eastAsia"/>
          <w:color w:val="000000"/>
          <w:kern w:val="0"/>
          <w:sz w:val="24"/>
        </w:rPr>
        <w:t>2</w:t>
      </w:r>
      <w:r w:rsidR="00D94195">
        <w:rPr>
          <w:rFonts w:ascii="宋体" w:hAnsi="宋体" w:cs="宋体" w:hint="eastAsia"/>
          <w:color w:val="000000"/>
          <w:kern w:val="0"/>
          <w:sz w:val="24"/>
        </w:rPr>
        <w:t>02</w:t>
      </w:r>
      <w:r w:rsidR="005B3E6E">
        <w:rPr>
          <w:rFonts w:ascii="宋体" w:hAnsi="宋体" w:cs="宋体" w:hint="eastAsia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年度</w:t>
      </w:r>
      <w:r>
        <w:rPr>
          <w:rFonts w:ascii="宋体" w:hAnsi="宋体" w:cs="宋体"/>
          <w:color w:val="000000"/>
          <w:kern w:val="0"/>
          <w:sz w:val="24"/>
        </w:rPr>
        <w:t>归属于上市公司股东的净利润不构成重大</w:t>
      </w:r>
      <w:r>
        <w:rPr>
          <w:rFonts w:ascii="宋体" w:hAnsi="宋体" w:cs="宋体" w:hint="eastAsia"/>
          <w:color w:val="000000"/>
          <w:kern w:val="0"/>
          <w:sz w:val="24"/>
        </w:rPr>
        <w:t>影响</w:t>
      </w:r>
      <w:r>
        <w:rPr>
          <w:rFonts w:ascii="宋体" w:hAnsi="宋体" w:cs="宋体"/>
          <w:color w:val="000000"/>
          <w:kern w:val="0"/>
          <w:sz w:val="24"/>
        </w:rPr>
        <w:t>。</w:t>
      </w:r>
    </w:p>
    <w:p w:rsidR="00770ABA" w:rsidRPr="00770ABA" w:rsidRDefault="00770ABA" w:rsidP="00770ABA">
      <w:pPr>
        <w:widowControl/>
        <w:spacing w:line="360" w:lineRule="auto"/>
        <w:ind w:firstLine="480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770ABA">
        <w:rPr>
          <w:rFonts w:ascii="宋体" w:hAnsi="宋体" w:cs="宋体" w:hint="eastAsia"/>
          <w:b/>
          <w:color w:val="000000"/>
          <w:kern w:val="0"/>
          <w:sz w:val="24"/>
        </w:rPr>
        <w:t>五、其他说明事项</w:t>
      </w:r>
    </w:p>
    <w:p w:rsidR="00770ABA" w:rsidRPr="00770ABA" w:rsidRDefault="00770ABA" w:rsidP="00770ABA">
      <w:pPr>
        <w:widowControl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770ABA">
        <w:rPr>
          <w:rFonts w:ascii="宋体" w:hAnsi="宋体" w:cs="宋体" w:hint="eastAsia"/>
          <w:color w:val="000000"/>
          <w:kern w:val="0"/>
          <w:sz w:val="24"/>
        </w:rPr>
        <w:t>以上预告数据仅为初步核算数据，具体准确的财务数据以公司正式披露的经审计后的</w:t>
      </w:r>
      <w:r>
        <w:rPr>
          <w:rFonts w:ascii="宋体" w:hAnsi="宋体" w:cs="宋体" w:hint="eastAsia"/>
          <w:color w:val="000000"/>
          <w:kern w:val="0"/>
          <w:sz w:val="24"/>
        </w:rPr>
        <w:t>20</w:t>
      </w:r>
      <w:r w:rsidR="00D94195">
        <w:rPr>
          <w:rFonts w:ascii="宋体" w:hAnsi="宋体" w:cs="宋体" w:hint="eastAsia"/>
          <w:color w:val="000000"/>
          <w:kern w:val="0"/>
          <w:sz w:val="24"/>
        </w:rPr>
        <w:t>2</w:t>
      </w:r>
      <w:r w:rsidR="005B3E6E">
        <w:rPr>
          <w:rFonts w:ascii="宋体" w:hAnsi="宋体" w:cs="宋体" w:hint="eastAsia"/>
          <w:color w:val="000000"/>
          <w:kern w:val="0"/>
          <w:sz w:val="24"/>
        </w:rPr>
        <w:t>2</w:t>
      </w:r>
      <w:r w:rsidRPr="00770ABA">
        <w:rPr>
          <w:rFonts w:ascii="宋体" w:hAnsi="宋体" w:cs="宋体" w:hint="eastAsia"/>
          <w:color w:val="000000"/>
          <w:kern w:val="0"/>
          <w:sz w:val="24"/>
        </w:rPr>
        <w:t>年年报为准，敬请广大投资者注意投资风险。</w:t>
      </w:r>
    </w:p>
    <w:p w:rsidR="00770ABA" w:rsidRPr="00770ABA" w:rsidRDefault="00770ABA" w:rsidP="00770ABA">
      <w:pPr>
        <w:widowControl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770ABA">
        <w:rPr>
          <w:rFonts w:ascii="宋体" w:hAnsi="宋体" w:cs="宋体"/>
          <w:color w:val="000000"/>
          <w:kern w:val="0"/>
          <w:sz w:val="24"/>
        </w:rPr>
        <w:t> </w:t>
      </w:r>
    </w:p>
    <w:p w:rsidR="00770ABA" w:rsidRPr="00770ABA" w:rsidRDefault="00770ABA" w:rsidP="00770ABA">
      <w:pPr>
        <w:widowControl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770ABA">
        <w:rPr>
          <w:rFonts w:ascii="宋体" w:hAnsi="宋体" w:cs="宋体" w:hint="eastAsia"/>
          <w:color w:val="000000"/>
          <w:kern w:val="0"/>
          <w:sz w:val="24"/>
        </w:rPr>
        <w:t>特此公告。</w:t>
      </w:r>
    </w:p>
    <w:p w:rsidR="00770ABA" w:rsidRPr="00770ABA" w:rsidRDefault="00770ABA" w:rsidP="00770ABA">
      <w:pPr>
        <w:widowControl/>
        <w:spacing w:line="360" w:lineRule="auto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770ABA">
        <w:rPr>
          <w:rFonts w:ascii="宋体" w:hAnsi="宋体" w:cs="宋体"/>
          <w:color w:val="000000"/>
          <w:kern w:val="0"/>
          <w:sz w:val="24"/>
        </w:rPr>
        <w:t> </w:t>
      </w:r>
    </w:p>
    <w:p w:rsidR="00770ABA" w:rsidRDefault="00770ABA" w:rsidP="00770ABA">
      <w:pPr>
        <w:widowControl/>
        <w:spacing w:line="360" w:lineRule="auto"/>
        <w:ind w:firstLine="480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沧州大化</w:t>
      </w:r>
      <w:r w:rsidRPr="00770ABA">
        <w:rPr>
          <w:rFonts w:ascii="宋体" w:hAnsi="宋体" w:cs="宋体" w:hint="eastAsia"/>
          <w:color w:val="000000"/>
          <w:kern w:val="0"/>
          <w:sz w:val="24"/>
        </w:rPr>
        <w:t>股份有限公司</w:t>
      </w:r>
    </w:p>
    <w:p w:rsidR="00770ABA" w:rsidRPr="00770ABA" w:rsidRDefault="00770ABA" w:rsidP="00770ABA">
      <w:pPr>
        <w:widowControl/>
        <w:spacing w:line="360" w:lineRule="auto"/>
        <w:ind w:right="480" w:firstLineChars="3100" w:firstLine="7440"/>
        <w:rPr>
          <w:rFonts w:ascii="宋体" w:hAnsi="宋体" w:cs="宋体"/>
          <w:color w:val="000000"/>
          <w:kern w:val="0"/>
          <w:sz w:val="24"/>
        </w:rPr>
      </w:pPr>
      <w:r w:rsidRPr="00770ABA">
        <w:rPr>
          <w:rFonts w:ascii="宋体" w:hAnsi="宋体" w:cs="宋体" w:hint="eastAsia"/>
          <w:color w:val="000000"/>
          <w:kern w:val="0"/>
          <w:sz w:val="24"/>
        </w:rPr>
        <w:t>董事会</w:t>
      </w:r>
    </w:p>
    <w:p w:rsidR="00770ABA" w:rsidRPr="00770ABA" w:rsidRDefault="00F80245" w:rsidP="00286B01">
      <w:pPr>
        <w:widowControl/>
        <w:wordWrap w:val="0"/>
        <w:spacing w:line="360" w:lineRule="auto"/>
        <w:ind w:right="360" w:firstLine="480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20</w:t>
      </w:r>
      <w:r w:rsidR="00D94195">
        <w:rPr>
          <w:rFonts w:ascii="宋体" w:hAnsi="宋体" w:cs="宋体" w:hint="eastAsia"/>
          <w:color w:val="000000"/>
          <w:kern w:val="0"/>
          <w:sz w:val="24"/>
        </w:rPr>
        <w:t>2</w:t>
      </w:r>
      <w:r w:rsidR="005B3E6E">
        <w:rPr>
          <w:rFonts w:ascii="宋体" w:hAnsi="宋体" w:cs="宋体" w:hint="eastAsia"/>
          <w:color w:val="000000"/>
          <w:kern w:val="0"/>
          <w:sz w:val="24"/>
        </w:rPr>
        <w:t>3</w:t>
      </w:r>
      <w:r w:rsidR="00770ABA" w:rsidRPr="00770ABA">
        <w:rPr>
          <w:rFonts w:ascii="宋体" w:hAnsi="宋体" w:cs="宋体" w:hint="eastAsia"/>
          <w:color w:val="000000"/>
          <w:kern w:val="0"/>
          <w:sz w:val="24"/>
        </w:rPr>
        <w:t>年</w:t>
      </w:r>
      <w:r>
        <w:rPr>
          <w:rFonts w:ascii="宋体" w:hAnsi="宋体" w:cs="宋体" w:hint="eastAsia"/>
          <w:color w:val="000000"/>
          <w:kern w:val="0"/>
          <w:sz w:val="24"/>
        </w:rPr>
        <w:t>1</w:t>
      </w:r>
      <w:r w:rsidR="00770ABA" w:rsidRPr="00770ABA">
        <w:rPr>
          <w:rFonts w:ascii="宋体" w:hAnsi="宋体" w:cs="宋体" w:hint="eastAsia"/>
          <w:color w:val="000000"/>
          <w:kern w:val="0"/>
          <w:sz w:val="24"/>
        </w:rPr>
        <w:t>月</w:t>
      </w:r>
      <w:r w:rsidR="00F03F76">
        <w:rPr>
          <w:rFonts w:ascii="宋体" w:hAnsi="宋体" w:cs="宋体" w:hint="eastAsia"/>
          <w:color w:val="000000"/>
          <w:kern w:val="0"/>
          <w:sz w:val="24"/>
        </w:rPr>
        <w:t>20</w:t>
      </w:r>
      <w:r w:rsidR="00770ABA" w:rsidRPr="00770ABA">
        <w:rPr>
          <w:rFonts w:ascii="宋体" w:hAnsi="宋体" w:cs="宋体" w:hint="eastAsia"/>
          <w:color w:val="000000"/>
          <w:kern w:val="0"/>
          <w:sz w:val="24"/>
        </w:rPr>
        <w:t>日</w:t>
      </w:r>
    </w:p>
    <w:p w:rsidR="00770ABA" w:rsidRPr="00770ABA" w:rsidRDefault="00770ABA" w:rsidP="00770ABA">
      <w:pPr>
        <w:widowControl/>
        <w:spacing w:line="360" w:lineRule="auto"/>
        <w:ind w:left="840" w:hanging="420"/>
        <w:jc w:val="left"/>
        <w:rPr>
          <w:rFonts w:ascii="宋体" w:hAnsi="宋体" w:cs="宋体"/>
          <w:color w:val="000000"/>
          <w:kern w:val="0"/>
          <w:sz w:val="24"/>
        </w:rPr>
      </w:pPr>
    </w:p>
    <w:p w:rsidR="00A8554F" w:rsidRDefault="00A8554F" w:rsidP="00770ABA">
      <w:pPr>
        <w:widowControl/>
        <w:spacing w:line="360" w:lineRule="auto"/>
        <w:ind w:firstLine="468"/>
        <w:jc w:val="left"/>
        <w:rPr>
          <w:rFonts w:ascii="宋体" w:hAnsi="宋体"/>
          <w:sz w:val="24"/>
        </w:rPr>
      </w:pPr>
    </w:p>
    <w:sectPr w:rsidR="00A8554F" w:rsidSect="00512AD8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418" w:bottom="1304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4FC" w:rsidRDefault="009854FC">
      <w:r>
        <w:separator/>
      </w:r>
    </w:p>
  </w:endnote>
  <w:endnote w:type="continuationSeparator" w:id="0">
    <w:p w:rsidR="009854FC" w:rsidRDefault="00985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07B" w:rsidRDefault="001330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60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607B" w:rsidRDefault="0020607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D2" w:rsidRDefault="0013303E">
    <w:pPr>
      <w:pStyle w:val="a4"/>
      <w:jc w:val="center"/>
    </w:pPr>
    <w:fldSimple w:instr="PAGE   \* MERGEFORMAT">
      <w:r w:rsidR="005F42EA" w:rsidRPr="005F42EA">
        <w:rPr>
          <w:noProof/>
          <w:lang w:val="zh-CN"/>
        </w:rPr>
        <w:t>2</w:t>
      </w:r>
    </w:fldSimple>
  </w:p>
  <w:p w:rsidR="001663D2" w:rsidRDefault="001663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4FC" w:rsidRDefault="009854FC">
      <w:r>
        <w:separator/>
      </w:r>
    </w:p>
  </w:footnote>
  <w:footnote w:type="continuationSeparator" w:id="0">
    <w:p w:rsidR="009854FC" w:rsidRDefault="00985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D2" w:rsidRDefault="001663D2" w:rsidP="001663D2">
    <w:pPr>
      <w:pStyle w:val="ab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D2" w:rsidRDefault="001663D2" w:rsidP="001663D2">
    <w:pPr>
      <w:pStyle w:val="ab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318"/>
    <w:multiLevelType w:val="hybridMultilevel"/>
    <w:tmpl w:val="627805C2"/>
    <w:lvl w:ilvl="0" w:tplc="5DC235D4">
      <w:start w:val="1"/>
      <w:numFmt w:val="japaneseCounting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0DB16C40"/>
    <w:multiLevelType w:val="hybridMultilevel"/>
    <w:tmpl w:val="058C0E9C"/>
    <w:lvl w:ilvl="0" w:tplc="32A2FE22">
      <w:start w:val="1"/>
      <w:numFmt w:val="japaneseCounting"/>
      <w:lvlText w:val="第%1章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 w:tplc="DC52CE38">
      <w:start w:val="1"/>
      <w:numFmt w:val="japaneseCounting"/>
      <w:lvlText w:val="第%2条"/>
      <w:lvlJc w:val="left"/>
      <w:pPr>
        <w:tabs>
          <w:tab w:val="num" w:pos="1425"/>
        </w:tabs>
        <w:ind w:left="1425" w:hanging="1005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5102D1C"/>
    <w:multiLevelType w:val="hybridMultilevel"/>
    <w:tmpl w:val="3D509B56"/>
    <w:lvl w:ilvl="0" w:tplc="58D8BEC6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abstractNum w:abstractNumId="3">
    <w:nsid w:val="15A630D2"/>
    <w:multiLevelType w:val="hybridMultilevel"/>
    <w:tmpl w:val="CB24D746"/>
    <w:lvl w:ilvl="0" w:tplc="C9F8DEE4">
      <w:start w:val="1"/>
      <w:numFmt w:val="japaneseCounting"/>
      <w:lvlText w:val="%1、"/>
      <w:lvlJc w:val="left"/>
      <w:pPr>
        <w:tabs>
          <w:tab w:val="num" w:pos="883"/>
        </w:tabs>
        <w:ind w:left="883" w:hanging="480"/>
      </w:pPr>
      <w:rPr>
        <w:rFonts w:hint="default"/>
      </w:rPr>
    </w:lvl>
    <w:lvl w:ilvl="1" w:tplc="5A8415D6">
      <w:start w:val="1"/>
      <w:numFmt w:val="decimal"/>
      <w:lvlText w:val="%2、"/>
      <w:lvlJc w:val="left"/>
      <w:pPr>
        <w:tabs>
          <w:tab w:val="num" w:pos="1618"/>
        </w:tabs>
        <w:ind w:left="1618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03"/>
        </w:tabs>
        <w:ind w:left="25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63"/>
        </w:tabs>
        <w:ind w:left="37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3"/>
        </w:tabs>
        <w:ind w:left="4183" w:hanging="420"/>
      </w:pPr>
    </w:lvl>
  </w:abstractNum>
  <w:abstractNum w:abstractNumId="4">
    <w:nsid w:val="1D4341E4"/>
    <w:multiLevelType w:val="hybridMultilevel"/>
    <w:tmpl w:val="1892E88C"/>
    <w:lvl w:ilvl="0" w:tplc="D78C93CE">
      <w:start w:val="1"/>
      <w:numFmt w:val="decimal"/>
      <w:lvlText w:val="%1、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2863546"/>
    <w:multiLevelType w:val="hybridMultilevel"/>
    <w:tmpl w:val="FBF23332"/>
    <w:lvl w:ilvl="0" w:tplc="D78C93CE">
      <w:start w:val="1"/>
      <w:numFmt w:val="decimal"/>
      <w:lvlText w:val="%1、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BE81010"/>
    <w:multiLevelType w:val="singleLevel"/>
    <w:tmpl w:val="E4D6639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eastAsia"/>
      </w:rPr>
    </w:lvl>
  </w:abstractNum>
  <w:abstractNum w:abstractNumId="7">
    <w:nsid w:val="3D9A795B"/>
    <w:multiLevelType w:val="hybridMultilevel"/>
    <w:tmpl w:val="39A034C4"/>
    <w:lvl w:ilvl="0" w:tplc="5386D45A">
      <w:start w:val="2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>
    <w:nsid w:val="417F759B"/>
    <w:multiLevelType w:val="hybridMultilevel"/>
    <w:tmpl w:val="B04CED5C"/>
    <w:lvl w:ilvl="0" w:tplc="A6F203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B234748"/>
    <w:multiLevelType w:val="hybridMultilevel"/>
    <w:tmpl w:val="C294511E"/>
    <w:lvl w:ilvl="0" w:tplc="D78C93CE">
      <w:start w:val="1"/>
      <w:numFmt w:val="decimal"/>
      <w:lvlText w:val="%1、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42004D3"/>
    <w:multiLevelType w:val="hybridMultilevel"/>
    <w:tmpl w:val="4BAC8F92"/>
    <w:lvl w:ilvl="0" w:tplc="4B9E85BE">
      <w:start w:val="2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1">
    <w:nsid w:val="5B4A766C"/>
    <w:multiLevelType w:val="hybridMultilevel"/>
    <w:tmpl w:val="A8A8E632"/>
    <w:lvl w:ilvl="0" w:tplc="D78C93CE">
      <w:start w:val="1"/>
      <w:numFmt w:val="decimal"/>
      <w:lvlText w:val="%1、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43"/>
        </w:tabs>
        <w:ind w:left="12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03"/>
        </w:tabs>
        <w:ind w:left="25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63"/>
        </w:tabs>
        <w:ind w:left="37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3"/>
        </w:tabs>
        <w:ind w:left="4183" w:hanging="420"/>
      </w:pPr>
    </w:lvl>
  </w:abstractNum>
  <w:abstractNum w:abstractNumId="12">
    <w:nsid w:val="5DD9180B"/>
    <w:multiLevelType w:val="hybridMultilevel"/>
    <w:tmpl w:val="73644AF2"/>
    <w:lvl w:ilvl="0" w:tplc="50BCB920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9F65DB9"/>
    <w:multiLevelType w:val="hybridMultilevel"/>
    <w:tmpl w:val="867A61AC"/>
    <w:lvl w:ilvl="0" w:tplc="D78C93CE">
      <w:start w:val="1"/>
      <w:numFmt w:val="decimal"/>
      <w:lvlText w:val="%1、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E6E302E"/>
    <w:multiLevelType w:val="hybridMultilevel"/>
    <w:tmpl w:val="53568C28"/>
    <w:lvl w:ilvl="0" w:tplc="CBF88B4C">
      <w:start w:val="1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734CBD84">
      <w:start w:val="1"/>
      <w:numFmt w:val="decimal"/>
      <w:lvlText w:val="（%2）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95"/>
        </w:tabs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55"/>
        </w:tabs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5"/>
        </w:tabs>
        <w:ind w:left="4275" w:hanging="420"/>
      </w:pPr>
    </w:lvl>
  </w:abstractNum>
  <w:abstractNum w:abstractNumId="15">
    <w:nsid w:val="720B5F33"/>
    <w:multiLevelType w:val="hybridMultilevel"/>
    <w:tmpl w:val="EBF6F1FC"/>
    <w:lvl w:ilvl="0" w:tplc="563CC9BC">
      <w:start w:val="1"/>
      <w:numFmt w:val="decimal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47B7551"/>
    <w:multiLevelType w:val="hybridMultilevel"/>
    <w:tmpl w:val="9EDCE3B2"/>
    <w:lvl w:ilvl="0" w:tplc="99B647D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2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4"/>
  </w:num>
  <w:num w:numId="10">
    <w:abstractNumId w:val="5"/>
  </w:num>
  <w:num w:numId="11">
    <w:abstractNumId w:val="13"/>
  </w:num>
  <w:num w:numId="12">
    <w:abstractNumId w:val="9"/>
  </w:num>
  <w:num w:numId="13">
    <w:abstractNumId w:val="10"/>
  </w:num>
  <w:num w:numId="14">
    <w:abstractNumId w:val="7"/>
  </w:num>
  <w:num w:numId="15">
    <w:abstractNumId w:val="15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F65"/>
    <w:rsid w:val="0000360F"/>
    <w:rsid w:val="0001462F"/>
    <w:rsid w:val="000160EA"/>
    <w:rsid w:val="00032D45"/>
    <w:rsid w:val="00032DA0"/>
    <w:rsid w:val="00034114"/>
    <w:rsid w:val="00045CE3"/>
    <w:rsid w:val="000535C9"/>
    <w:rsid w:val="00053A90"/>
    <w:rsid w:val="00057635"/>
    <w:rsid w:val="00061D7F"/>
    <w:rsid w:val="000630EA"/>
    <w:rsid w:val="00082796"/>
    <w:rsid w:val="00084065"/>
    <w:rsid w:val="000902C5"/>
    <w:rsid w:val="00093BB5"/>
    <w:rsid w:val="000B5320"/>
    <w:rsid w:val="000B6DB2"/>
    <w:rsid w:val="000B711F"/>
    <w:rsid w:val="000C25CD"/>
    <w:rsid w:val="000D2567"/>
    <w:rsid w:val="000D2934"/>
    <w:rsid w:val="000D2F37"/>
    <w:rsid w:val="000D3072"/>
    <w:rsid w:val="000D493E"/>
    <w:rsid w:val="000E0FD7"/>
    <w:rsid w:val="000E4B5B"/>
    <w:rsid w:val="000F437D"/>
    <w:rsid w:val="000F6D27"/>
    <w:rsid w:val="00100275"/>
    <w:rsid w:val="001016B8"/>
    <w:rsid w:val="00105658"/>
    <w:rsid w:val="001232B1"/>
    <w:rsid w:val="0012626F"/>
    <w:rsid w:val="0012656B"/>
    <w:rsid w:val="0013303E"/>
    <w:rsid w:val="0015005A"/>
    <w:rsid w:val="00150340"/>
    <w:rsid w:val="00153824"/>
    <w:rsid w:val="00156DE3"/>
    <w:rsid w:val="00156F08"/>
    <w:rsid w:val="00163058"/>
    <w:rsid w:val="001652D9"/>
    <w:rsid w:val="001663D2"/>
    <w:rsid w:val="00181796"/>
    <w:rsid w:val="00185C0B"/>
    <w:rsid w:val="00186FBF"/>
    <w:rsid w:val="0018736E"/>
    <w:rsid w:val="00191CE4"/>
    <w:rsid w:val="001A5E02"/>
    <w:rsid w:val="001B5F22"/>
    <w:rsid w:val="001B7FBB"/>
    <w:rsid w:val="001E0B70"/>
    <w:rsid w:val="001E380C"/>
    <w:rsid w:val="001E5EE6"/>
    <w:rsid w:val="001E7EDE"/>
    <w:rsid w:val="0020607B"/>
    <w:rsid w:val="00212008"/>
    <w:rsid w:val="002144C1"/>
    <w:rsid w:val="00221A2D"/>
    <w:rsid w:val="00224D9B"/>
    <w:rsid w:val="0022748C"/>
    <w:rsid w:val="002308A6"/>
    <w:rsid w:val="00231D4A"/>
    <w:rsid w:val="00236873"/>
    <w:rsid w:val="002468AA"/>
    <w:rsid w:val="00252368"/>
    <w:rsid w:val="00252CF9"/>
    <w:rsid w:val="00262D30"/>
    <w:rsid w:val="002674A4"/>
    <w:rsid w:val="00272660"/>
    <w:rsid w:val="00275FEB"/>
    <w:rsid w:val="00280D18"/>
    <w:rsid w:val="002842A7"/>
    <w:rsid w:val="00285ABC"/>
    <w:rsid w:val="00286B01"/>
    <w:rsid w:val="00287D0B"/>
    <w:rsid w:val="00287F93"/>
    <w:rsid w:val="00292F9E"/>
    <w:rsid w:val="0029334F"/>
    <w:rsid w:val="002A25A3"/>
    <w:rsid w:val="002C0593"/>
    <w:rsid w:val="002C37C2"/>
    <w:rsid w:val="002C5360"/>
    <w:rsid w:val="002D30F4"/>
    <w:rsid w:val="002E0CD9"/>
    <w:rsid w:val="002E1C03"/>
    <w:rsid w:val="002E6640"/>
    <w:rsid w:val="002E689A"/>
    <w:rsid w:val="002F0E51"/>
    <w:rsid w:val="0030043D"/>
    <w:rsid w:val="00301E5D"/>
    <w:rsid w:val="0031565B"/>
    <w:rsid w:val="00321600"/>
    <w:rsid w:val="00322869"/>
    <w:rsid w:val="003316C8"/>
    <w:rsid w:val="003317A2"/>
    <w:rsid w:val="00333FFA"/>
    <w:rsid w:val="00336647"/>
    <w:rsid w:val="0034370A"/>
    <w:rsid w:val="00346F82"/>
    <w:rsid w:val="00352189"/>
    <w:rsid w:val="00352FEE"/>
    <w:rsid w:val="00354F43"/>
    <w:rsid w:val="00357991"/>
    <w:rsid w:val="00370866"/>
    <w:rsid w:val="003714A4"/>
    <w:rsid w:val="00371EB3"/>
    <w:rsid w:val="003738D2"/>
    <w:rsid w:val="0037774B"/>
    <w:rsid w:val="00382119"/>
    <w:rsid w:val="0039553C"/>
    <w:rsid w:val="003A217B"/>
    <w:rsid w:val="003A455D"/>
    <w:rsid w:val="003B04A1"/>
    <w:rsid w:val="003B1454"/>
    <w:rsid w:val="003B5116"/>
    <w:rsid w:val="003D2B90"/>
    <w:rsid w:val="003D7F32"/>
    <w:rsid w:val="003E0224"/>
    <w:rsid w:val="003E13A5"/>
    <w:rsid w:val="003E1F36"/>
    <w:rsid w:val="003E72CC"/>
    <w:rsid w:val="003F110D"/>
    <w:rsid w:val="003F524B"/>
    <w:rsid w:val="003F6A18"/>
    <w:rsid w:val="0040052D"/>
    <w:rsid w:val="004045F7"/>
    <w:rsid w:val="00405C87"/>
    <w:rsid w:val="00407A20"/>
    <w:rsid w:val="00413ACD"/>
    <w:rsid w:val="004155B5"/>
    <w:rsid w:val="00422BA7"/>
    <w:rsid w:val="00430CED"/>
    <w:rsid w:val="004353F5"/>
    <w:rsid w:val="00445E09"/>
    <w:rsid w:val="0045343F"/>
    <w:rsid w:val="00465F65"/>
    <w:rsid w:val="00475D58"/>
    <w:rsid w:val="00476898"/>
    <w:rsid w:val="00477CDF"/>
    <w:rsid w:val="00481042"/>
    <w:rsid w:val="00484DBD"/>
    <w:rsid w:val="004870C1"/>
    <w:rsid w:val="00490E2B"/>
    <w:rsid w:val="004B09DD"/>
    <w:rsid w:val="004B0A0E"/>
    <w:rsid w:val="004B32A0"/>
    <w:rsid w:val="004C4941"/>
    <w:rsid w:val="004C4D00"/>
    <w:rsid w:val="004C6697"/>
    <w:rsid w:val="004C6C92"/>
    <w:rsid w:val="004C710F"/>
    <w:rsid w:val="004E3E7A"/>
    <w:rsid w:val="004E5853"/>
    <w:rsid w:val="004E5D8D"/>
    <w:rsid w:val="004F36F7"/>
    <w:rsid w:val="0050325D"/>
    <w:rsid w:val="00506707"/>
    <w:rsid w:val="00507ADD"/>
    <w:rsid w:val="00512AD8"/>
    <w:rsid w:val="005130A3"/>
    <w:rsid w:val="005209D1"/>
    <w:rsid w:val="00521742"/>
    <w:rsid w:val="0052232F"/>
    <w:rsid w:val="00536098"/>
    <w:rsid w:val="00537B16"/>
    <w:rsid w:val="005467A7"/>
    <w:rsid w:val="0055554E"/>
    <w:rsid w:val="00555A4B"/>
    <w:rsid w:val="00557993"/>
    <w:rsid w:val="00560C8A"/>
    <w:rsid w:val="005714D1"/>
    <w:rsid w:val="00576973"/>
    <w:rsid w:val="00576A62"/>
    <w:rsid w:val="00584D26"/>
    <w:rsid w:val="00595774"/>
    <w:rsid w:val="005B1767"/>
    <w:rsid w:val="005B36EB"/>
    <w:rsid w:val="005B3E6E"/>
    <w:rsid w:val="005B41F3"/>
    <w:rsid w:val="005C16E1"/>
    <w:rsid w:val="005C7309"/>
    <w:rsid w:val="005F0FFE"/>
    <w:rsid w:val="005F42EA"/>
    <w:rsid w:val="005F5EC4"/>
    <w:rsid w:val="0060129D"/>
    <w:rsid w:val="006012E5"/>
    <w:rsid w:val="00604F44"/>
    <w:rsid w:val="0061292F"/>
    <w:rsid w:val="00614E23"/>
    <w:rsid w:val="00620979"/>
    <w:rsid w:val="00623AEC"/>
    <w:rsid w:val="006242BA"/>
    <w:rsid w:val="00624FC0"/>
    <w:rsid w:val="00627C70"/>
    <w:rsid w:val="0063410D"/>
    <w:rsid w:val="00634E83"/>
    <w:rsid w:val="006367E4"/>
    <w:rsid w:val="00637018"/>
    <w:rsid w:val="00655A69"/>
    <w:rsid w:val="006561FC"/>
    <w:rsid w:val="00660520"/>
    <w:rsid w:val="00672CB2"/>
    <w:rsid w:val="006738CE"/>
    <w:rsid w:val="00681209"/>
    <w:rsid w:val="006818B5"/>
    <w:rsid w:val="00684B1A"/>
    <w:rsid w:val="00684E3B"/>
    <w:rsid w:val="00685FD9"/>
    <w:rsid w:val="0069289E"/>
    <w:rsid w:val="00697326"/>
    <w:rsid w:val="006A3337"/>
    <w:rsid w:val="006A5CC3"/>
    <w:rsid w:val="006B3A08"/>
    <w:rsid w:val="006B6FB6"/>
    <w:rsid w:val="006B7289"/>
    <w:rsid w:val="006B7320"/>
    <w:rsid w:val="006C2B0C"/>
    <w:rsid w:val="006C3567"/>
    <w:rsid w:val="006C58A8"/>
    <w:rsid w:val="006D3280"/>
    <w:rsid w:val="006D7E61"/>
    <w:rsid w:val="006E0A3B"/>
    <w:rsid w:val="006E39A3"/>
    <w:rsid w:val="006F03E9"/>
    <w:rsid w:val="00701C65"/>
    <w:rsid w:val="00703F38"/>
    <w:rsid w:val="00705780"/>
    <w:rsid w:val="00714205"/>
    <w:rsid w:val="007170A4"/>
    <w:rsid w:val="00717809"/>
    <w:rsid w:val="00733C1E"/>
    <w:rsid w:val="00736F2E"/>
    <w:rsid w:val="00753841"/>
    <w:rsid w:val="00755A85"/>
    <w:rsid w:val="00756266"/>
    <w:rsid w:val="00756D3F"/>
    <w:rsid w:val="00760870"/>
    <w:rsid w:val="0076350A"/>
    <w:rsid w:val="00765525"/>
    <w:rsid w:val="00767260"/>
    <w:rsid w:val="00770ABA"/>
    <w:rsid w:val="0077638A"/>
    <w:rsid w:val="007774B2"/>
    <w:rsid w:val="00780CE6"/>
    <w:rsid w:val="00782A61"/>
    <w:rsid w:val="00783A32"/>
    <w:rsid w:val="0078742F"/>
    <w:rsid w:val="007C07EC"/>
    <w:rsid w:val="007C2566"/>
    <w:rsid w:val="007C3FB2"/>
    <w:rsid w:val="007C4770"/>
    <w:rsid w:val="007C57CE"/>
    <w:rsid w:val="007C689E"/>
    <w:rsid w:val="007D0FB8"/>
    <w:rsid w:val="007D75B1"/>
    <w:rsid w:val="007E09B1"/>
    <w:rsid w:val="007E5568"/>
    <w:rsid w:val="007E7AAA"/>
    <w:rsid w:val="007F2FBD"/>
    <w:rsid w:val="007F34F4"/>
    <w:rsid w:val="007F5252"/>
    <w:rsid w:val="007F574C"/>
    <w:rsid w:val="008028B2"/>
    <w:rsid w:val="00815DF1"/>
    <w:rsid w:val="008177F8"/>
    <w:rsid w:val="00822670"/>
    <w:rsid w:val="00824787"/>
    <w:rsid w:val="00825A7E"/>
    <w:rsid w:val="008304B2"/>
    <w:rsid w:val="0083205D"/>
    <w:rsid w:val="0084104B"/>
    <w:rsid w:val="00844669"/>
    <w:rsid w:val="00844E14"/>
    <w:rsid w:val="0084614D"/>
    <w:rsid w:val="008515D9"/>
    <w:rsid w:val="008534FA"/>
    <w:rsid w:val="008540D9"/>
    <w:rsid w:val="008566B7"/>
    <w:rsid w:val="00856FD1"/>
    <w:rsid w:val="0086032C"/>
    <w:rsid w:val="00863727"/>
    <w:rsid w:val="008662AB"/>
    <w:rsid w:val="0087363E"/>
    <w:rsid w:val="00877874"/>
    <w:rsid w:val="00885BBE"/>
    <w:rsid w:val="00894830"/>
    <w:rsid w:val="00896C46"/>
    <w:rsid w:val="008A0981"/>
    <w:rsid w:val="008A2735"/>
    <w:rsid w:val="008A302E"/>
    <w:rsid w:val="008B1C18"/>
    <w:rsid w:val="008C00C6"/>
    <w:rsid w:val="008C5ACF"/>
    <w:rsid w:val="008D2F46"/>
    <w:rsid w:val="008D76A5"/>
    <w:rsid w:val="008E349D"/>
    <w:rsid w:val="008F050A"/>
    <w:rsid w:val="008F3857"/>
    <w:rsid w:val="0090011E"/>
    <w:rsid w:val="00900CAB"/>
    <w:rsid w:val="009132F6"/>
    <w:rsid w:val="0091471E"/>
    <w:rsid w:val="00917179"/>
    <w:rsid w:val="00917658"/>
    <w:rsid w:val="00922B0E"/>
    <w:rsid w:val="00922FD1"/>
    <w:rsid w:val="00923B1B"/>
    <w:rsid w:val="00925C2C"/>
    <w:rsid w:val="009323AB"/>
    <w:rsid w:val="009349F1"/>
    <w:rsid w:val="00936A9E"/>
    <w:rsid w:val="00940274"/>
    <w:rsid w:val="00941EA8"/>
    <w:rsid w:val="009462DF"/>
    <w:rsid w:val="009464D8"/>
    <w:rsid w:val="0095091B"/>
    <w:rsid w:val="00954F29"/>
    <w:rsid w:val="0096202F"/>
    <w:rsid w:val="00965AAA"/>
    <w:rsid w:val="009701C9"/>
    <w:rsid w:val="0097299B"/>
    <w:rsid w:val="00973E23"/>
    <w:rsid w:val="00975E88"/>
    <w:rsid w:val="00980F6B"/>
    <w:rsid w:val="00981601"/>
    <w:rsid w:val="00981C10"/>
    <w:rsid w:val="00981F84"/>
    <w:rsid w:val="009854FC"/>
    <w:rsid w:val="0099013D"/>
    <w:rsid w:val="00995DAF"/>
    <w:rsid w:val="00996237"/>
    <w:rsid w:val="009A046B"/>
    <w:rsid w:val="009A7B86"/>
    <w:rsid w:val="009B23FE"/>
    <w:rsid w:val="009B5D45"/>
    <w:rsid w:val="009B680B"/>
    <w:rsid w:val="009B7966"/>
    <w:rsid w:val="009C13C2"/>
    <w:rsid w:val="009C4DC3"/>
    <w:rsid w:val="009C4F02"/>
    <w:rsid w:val="009D5617"/>
    <w:rsid w:val="009F335B"/>
    <w:rsid w:val="009F4D46"/>
    <w:rsid w:val="00A00C72"/>
    <w:rsid w:val="00A077EC"/>
    <w:rsid w:val="00A11611"/>
    <w:rsid w:val="00A173AF"/>
    <w:rsid w:val="00A209DF"/>
    <w:rsid w:val="00A237FA"/>
    <w:rsid w:val="00A24A27"/>
    <w:rsid w:val="00A2591C"/>
    <w:rsid w:val="00A26738"/>
    <w:rsid w:val="00A26C97"/>
    <w:rsid w:val="00A403CD"/>
    <w:rsid w:val="00A4696F"/>
    <w:rsid w:val="00A51142"/>
    <w:rsid w:val="00A6280F"/>
    <w:rsid w:val="00A66F58"/>
    <w:rsid w:val="00A72B6F"/>
    <w:rsid w:val="00A744E9"/>
    <w:rsid w:val="00A80B92"/>
    <w:rsid w:val="00A8554F"/>
    <w:rsid w:val="00A93BC6"/>
    <w:rsid w:val="00A94ECD"/>
    <w:rsid w:val="00AA4301"/>
    <w:rsid w:val="00AA43F2"/>
    <w:rsid w:val="00AB033B"/>
    <w:rsid w:val="00AB239C"/>
    <w:rsid w:val="00AB4670"/>
    <w:rsid w:val="00AB4B63"/>
    <w:rsid w:val="00AB6D24"/>
    <w:rsid w:val="00AC416F"/>
    <w:rsid w:val="00AC46C2"/>
    <w:rsid w:val="00AD7AF6"/>
    <w:rsid w:val="00AE0FB7"/>
    <w:rsid w:val="00AE33D5"/>
    <w:rsid w:val="00AE4248"/>
    <w:rsid w:val="00AE6FBF"/>
    <w:rsid w:val="00AE70D1"/>
    <w:rsid w:val="00AF4EA7"/>
    <w:rsid w:val="00AF71F9"/>
    <w:rsid w:val="00B02B27"/>
    <w:rsid w:val="00B03521"/>
    <w:rsid w:val="00B05F3D"/>
    <w:rsid w:val="00B0634E"/>
    <w:rsid w:val="00B127C9"/>
    <w:rsid w:val="00B14464"/>
    <w:rsid w:val="00B2123A"/>
    <w:rsid w:val="00B212C0"/>
    <w:rsid w:val="00B233C7"/>
    <w:rsid w:val="00B319D4"/>
    <w:rsid w:val="00B369D0"/>
    <w:rsid w:val="00B37AB9"/>
    <w:rsid w:val="00B417CD"/>
    <w:rsid w:val="00B41E4D"/>
    <w:rsid w:val="00B4653A"/>
    <w:rsid w:val="00B6353F"/>
    <w:rsid w:val="00B635E3"/>
    <w:rsid w:val="00B7355D"/>
    <w:rsid w:val="00B742FA"/>
    <w:rsid w:val="00B75051"/>
    <w:rsid w:val="00B8444D"/>
    <w:rsid w:val="00B86A19"/>
    <w:rsid w:val="00BA0A5E"/>
    <w:rsid w:val="00BA4A4A"/>
    <w:rsid w:val="00BA4CCD"/>
    <w:rsid w:val="00BB018D"/>
    <w:rsid w:val="00BB556F"/>
    <w:rsid w:val="00BB58DA"/>
    <w:rsid w:val="00BC0923"/>
    <w:rsid w:val="00BC0C16"/>
    <w:rsid w:val="00BD4671"/>
    <w:rsid w:val="00BE0278"/>
    <w:rsid w:val="00BE3FC8"/>
    <w:rsid w:val="00BE4EDB"/>
    <w:rsid w:val="00BE5711"/>
    <w:rsid w:val="00BF1F27"/>
    <w:rsid w:val="00BF7CBF"/>
    <w:rsid w:val="00C00DD2"/>
    <w:rsid w:val="00C0574F"/>
    <w:rsid w:val="00C0621F"/>
    <w:rsid w:val="00C07BE9"/>
    <w:rsid w:val="00C11174"/>
    <w:rsid w:val="00C20236"/>
    <w:rsid w:val="00C2131D"/>
    <w:rsid w:val="00C228BB"/>
    <w:rsid w:val="00C23609"/>
    <w:rsid w:val="00C34762"/>
    <w:rsid w:val="00C353F1"/>
    <w:rsid w:val="00C435A3"/>
    <w:rsid w:val="00C53080"/>
    <w:rsid w:val="00C558EE"/>
    <w:rsid w:val="00C60105"/>
    <w:rsid w:val="00C60E98"/>
    <w:rsid w:val="00C6297F"/>
    <w:rsid w:val="00C63885"/>
    <w:rsid w:val="00C64941"/>
    <w:rsid w:val="00C662B4"/>
    <w:rsid w:val="00C70B22"/>
    <w:rsid w:val="00C74711"/>
    <w:rsid w:val="00C801D4"/>
    <w:rsid w:val="00C90008"/>
    <w:rsid w:val="00C90B27"/>
    <w:rsid w:val="00C94A00"/>
    <w:rsid w:val="00C94A9E"/>
    <w:rsid w:val="00CB005A"/>
    <w:rsid w:val="00CC2F1F"/>
    <w:rsid w:val="00CC6834"/>
    <w:rsid w:val="00CC6FC3"/>
    <w:rsid w:val="00CD234B"/>
    <w:rsid w:val="00CD34A6"/>
    <w:rsid w:val="00CD50D7"/>
    <w:rsid w:val="00CD571A"/>
    <w:rsid w:val="00CE0768"/>
    <w:rsid w:val="00CE5387"/>
    <w:rsid w:val="00CE5B41"/>
    <w:rsid w:val="00CF55A6"/>
    <w:rsid w:val="00D0048A"/>
    <w:rsid w:val="00D10131"/>
    <w:rsid w:val="00D237B8"/>
    <w:rsid w:val="00D251C5"/>
    <w:rsid w:val="00D359F7"/>
    <w:rsid w:val="00D42EFC"/>
    <w:rsid w:val="00D4567E"/>
    <w:rsid w:val="00D4661E"/>
    <w:rsid w:val="00D50031"/>
    <w:rsid w:val="00D51D88"/>
    <w:rsid w:val="00D5304F"/>
    <w:rsid w:val="00D635D6"/>
    <w:rsid w:val="00D667AB"/>
    <w:rsid w:val="00D76D93"/>
    <w:rsid w:val="00D83225"/>
    <w:rsid w:val="00D94195"/>
    <w:rsid w:val="00D9702A"/>
    <w:rsid w:val="00DA0522"/>
    <w:rsid w:val="00DA3E6D"/>
    <w:rsid w:val="00DB2E6C"/>
    <w:rsid w:val="00DD5D6D"/>
    <w:rsid w:val="00DE45D1"/>
    <w:rsid w:val="00DE68C3"/>
    <w:rsid w:val="00DF2071"/>
    <w:rsid w:val="00DF2F57"/>
    <w:rsid w:val="00DF6C8C"/>
    <w:rsid w:val="00DF7506"/>
    <w:rsid w:val="00DF7B06"/>
    <w:rsid w:val="00E059DE"/>
    <w:rsid w:val="00E115E9"/>
    <w:rsid w:val="00E13BAD"/>
    <w:rsid w:val="00E23196"/>
    <w:rsid w:val="00E271A2"/>
    <w:rsid w:val="00E306D9"/>
    <w:rsid w:val="00E40685"/>
    <w:rsid w:val="00E42072"/>
    <w:rsid w:val="00E42AF2"/>
    <w:rsid w:val="00E43AD0"/>
    <w:rsid w:val="00E4690B"/>
    <w:rsid w:val="00E61684"/>
    <w:rsid w:val="00E61BE0"/>
    <w:rsid w:val="00E66169"/>
    <w:rsid w:val="00E71AE6"/>
    <w:rsid w:val="00E72C53"/>
    <w:rsid w:val="00E753EB"/>
    <w:rsid w:val="00EA63FE"/>
    <w:rsid w:val="00EA7167"/>
    <w:rsid w:val="00EB2EBC"/>
    <w:rsid w:val="00EB3179"/>
    <w:rsid w:val="00EB74E5"/>
    <w:rsid w:val="00EC2AE1"/>
    <w:rsid w:val="00ED00D2"/>
    <w:rsid w:val="00ED0751"/>
    <w:rsid w:val="00ED0C1F"/>
    <w:rsid w:val="00ED3A99"/>
    <w:rsid w:val="00EE6DA8"/>
    <w:rsid w:val="00EF1795"/>
    <w:rsid w:val="00F03564"/>
    <w:rsid w:val="00F03F76"/>
    <w:rsid w:val="00F06917"/>
    <w:rsid w:val="00F15625"/>
    <w:rsid w:val="00F20056"/>
    <w:rsid w:val="00F241DB"/>
    <w:rsid w:val="00F24FCA"/>
    <w:rsid w:val="00F2557B"/>
    <w:rsid w:val="00F412ED"/>
    <w:rsid w:val="00F549BA"/>
    <w:rsid w:val="00F60C79"/>
    <w:rsid w:val="00F64D13"/>
    <w:rsid w:val="00F770C4"/>
    <w:rsid w:val="00F80245"/>
    <w:rsid w:val="00F805AB"/>
    <w:rsid w:val="00F83217"/>
    <w:rsid w:val="00F85A63"/>
    <w:rsid w:val="00F8626B"/>
    <w:rsid w:val="00F872A0"/>
    <w:rsid w:val="00F91FA8"/>
    <w:rsid w:val="00FA084D"/>
    <w:rsid w:val="00FA1F23"/>
    <w:rsid w:val="00FA2268"/>
    <w:rsid w:val="00FA46B1"/>
    <w:rsid w:val="00FC161A"/>
    <w:rsid w:val="00FC4567"/>
    <w:rsid w:val="00FD162B"/>
    <w:rsid w:val="00FD533F"/>
    <w:rsid w:val="00FE054B"/>
    <w:rsid w:val="00FE2E66"/>
    <w:rsid w:val="00FE5DD6"/>
    <w:rsid w:val="00FF2EF9"/>
    <w:rsid w:val="00FF5C12"/>
    <w:rsid w:val="00FF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3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34B"/>
    <w:pPr>
      <w:snapToGrid w:val="0"/>
      <w:spacing w:line="400" w:lineRule="atLeast"/>
      <w:ind w:firstLine="480"/>
    </w:pPr>
    <w:rPr>
      <w:rFonts w:ascii="宋体"/>
      <w:sz w:val="24"/>
      <w:szCs w:val="20"/>
    </w:rPr>
  </w:style>
  <w:style w:type="paragraph" w:styleId="a4">
    <w:name w:val="footer"/>
    <w:basedOn w:val="a"/>
    <w:link w:val="Char"/>
    <w:uiPriority w:val="99"/>
    <w:rsid w:val="00CD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D234B"/>
  </w:style>
  <w:style w:type="paragraph" w:styleId="a6">
    <w:name w:val="Plain Text"/>
    <w:basedOn w:val="a"/>
    <w:rsid w:val="00CD234B"/>
    <w:rPr>
      <w:rFonts w:ascii="宋体" w:hAnsi="Courier New" w:cs="Courier New"/>
      <w:szCs w:val="21"/>
    </w:rPr>
  </w:style>
  <w:style w:type="paragraph" w:styleId="a7">
    <w:name w:val="Body Text"/>
    <w:basedOn w:val="a"/>
    <w:rsid w:val="00CD234B"/>
    <w:pPr>
      <w:autoSpaceDE w:val="0"/>
      <w:autoSpaceDN w:val="0"/>
      <w:spacing w:beforeLines="78" w:line="440" w:lineRule="exact"/>
      <w:textAlignment w:val="bottom"/>
    </w:pPr>
    <w:rPr>
      <w:rFonts w:ascii="宋体"/>
      <w:sz w:val="24"/>
    </w:rPr>
  </w:style>
  <w:style w:type="paragraph" w:styleId="a8">
    <w:name w:val="Date"/>
    <w:basedOn w:val="a"/>
    <w:next w:val="a"/>
    <w:rsid w:val="00CD234B"/>
    <w:pPr>
      <w:ind w:leftChars="2500" w:left="100"/>
    </w:pPr>
    <w:rPr>
      <w:rFonts w:ascii="宋体" w:hAnsi="宋体"/>
      <w:sz w:val="24"/>
    </w:rPr>
  </w:style>
  <w:style w:type="paragraph" w:styleId="2">
    <w:name w:val="Body Text Indent 2"/>
    <w:basedOn w:val="a"/>
    <w:rsid w:val="00CD234B"/>
    <w:pPr>
      <w:spacing w:line="0" w:lineRule="atLeast"/>
      <w:ind w:firstLineChars="400" w:firstLine="941"/>
    </w:pPr>
    <w:rPr>
      <w:rFonts w:ascii="宋体" w:hAnsi="宋体"/>
      <w:sz w:val="24"/>
    </w:rPr>
  </w:style>
  <w:style w:type="paragraph" w:styleId="20">
    <w:name w:val="Body Text 2"/>
    <w:basedOn w:val="a"/>
    <w:rsid w:val="00CD234B"/>
    <w:pPr>
      <w:spacing w:before="120" w:line="520" w:lineRule="exact"/>
      <w:jc w:val="center"/>
    </w:pPr>
    <w:rPr>
      <w:b/>
      <w:sz w:val="32"/>
      <w:szCs w:val="20"/>
    </w:rPr>
  </w:style>
  <w:style w:type="paragraph" w:styleId="a9">
    <w:name w:val="Document Map"/>
    <w:basedOn w:val="a"/>
    <w:semiHidden/>
    <w:rsid w:val="00CD234B"/>
    <w:pPr>
      <w:shd w:val="clear" w:color="auto" w:fill="000080"/>
    </w:pPr>
  </w:style>
  <w:style w:type="paragraph" w:styleId="aa">
    <w:name w:val="Normal (Web)"/>
    <w:basedOn w:val="a"/>
    <w:rsid w:val="00CD234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HTML">
    <w:name w:val="HTML Preformatted"/>
    <w:basedOn w:val="a"/>
    <w:rsid w:val="00CD23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b">
    <w:name w:val="header"/>
    <w:basedOn w:val="a"/>
    <w:rsid w:val="00CD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Balloon Text"/>
    <w:basedOn w:val="a"/>
    <w:semiHidden/>
    <w:rsid w:val="00D9702A"/>
    <w:rPr>
      <w:sz w:val="18"/>
      <w:szCs w:val="18"/>
    </w:rPr>
  </w:style>
  <w:style w:type="character" w:customStyle="1" w:styleId="Char">
    <w:name w:val="页脚 Char"/>
    <w:link w:val="a4"/>
    <w:uiPriority w:val="99"/>
    <w:rsid w:val="001663D2"/>
    <w:rPr>
      <w:kern w:val="2"/>
      <w:sz w:val="18"/>
      <w:szCs w:val="18"/>
    </w:rPr>
  </w:style>
  <w:style w:type="character" w:customStyle="1" w:styleId="fontstyle01">
    <w:name w:val="fontstyle01"/>
    <w:basedOn w:val="a0"/>
    <w:rsid w:val="001E5EE6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E5E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1E5E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188</Words>
  <Characters>1077</Characters>
  <Application>Microsoft Office Word</Application>
  <DocSecurity>0</DocSecurity>
  <Lines>8</Lines>
  <Paragraphs>2</Paragraphs>
  <ScaleCrop>false</ScaleCrop>
  <Company>czdh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证券代码：600230      股票简称：沧州大化      编号：2004-3号</dc:title>
  <dc:creator>zcb2</dc:creator>
  <cp:lastModifiedBy>匿名用户</cp:lastModifiedBy>
  <cp:revision>9</cp:revision>
  <cp:lastPrinted>2023-01-19T00:30:00Z</cp:lastPrinted>
  <dcterms:created xsi:type="dcterms:W3CDTF">2023-01-18T01:24:00Z</dcterms:created>
  <dcterms:modified xsi:type="dcterms:W3CDTF">2023-01-19T01:33:00Z</dcterms:modified>
</cp:coreProperties>
</file>