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ACF0" w14:textId="502C4153" w:rsidR="00C53567" w:rsidRDefault="00C53567" w:rsidP="00C53567">
      <w:pPr>
        <w:jc w:val="center"/>
        <w:rPr>
          <w:rFonts w:ascii="宋体" w:hAnsi="宋体"/>
          <w:sz w:val="24"/>
        </w:rPr>
      </w:pPr>
      <w:r>
        <w:rPr>
          <w:rFonts w:ascii="宋体" w:hAnsi="宋体" w:hint="eastAsia"/>
          <w:sz w:val="24"/>
        </w:rPr>
        <w:t xml:space="preserve">证券代码：600230  </w:t>
      </w:r>
      <w:r>
        <w:rPr>
          <w:rFonts w:ascii="宋体" w:hAnsi="宋体"/>
          <w:sz w:val="24"/>
        </w:rPr>
        <w:t xml:space="preserve">    </w:t>
      </w:r>
      <w:r>
        <w:rPr>
          <w:rFonts w:ascii="宋体" w:hAnsi="宋体" w:hint="eastAsia"/>
          <w:sz w:val="24"/>
        </w:rPr>
        <w:t xml:space="preserve">   股票简称：沧州大化  </w:t>
      </w:r>
      <w:r>
        <w:rPr>
          <w:rFonts w:ascii="宋体" w:hAnsi="宋体"/>
          <w:sz w:val="24"/>
        </w:rPr>
        <w:t xml:space="preserve">     </w:t>
      </w:r>
      <w:r>
        <w:rPr>
          <w:rFonts w:ascii="宋体" w:hAnsi="宋体" w:hint="eastAsia"/>
          <w:sz w:val="24"/>
        </w:rPr>
        <w:t xml:space="preserve"> 编号：20</w:t>
      </w:r>
      <w:r w:rsidR="009B270B">
        <w:rPr>
          <w:rFonts w:ascii="宋体" w:hAnsi="宋体" w:hint="eastAsia"/>
          <w:sz w:val="24"/>
        </w:rPr>
        <w:t>2</w:t>
      </w:r>
      <w:r w:rsidR="00E50872">
        <w:rPr>
          <w:rFonts w:ascii="宋体" w:hAnsi="宋体"/>
          <w:sz w:val="24"/>
        </w:rPr>
        <w:t>5</w:t>
      </w:r>
      <w:r>
        <w:rPr>
          <w:rFonts w:ascii="宋体" w:hAnsi="宋体" w:hint="eastAsia"/>
          <w:sz w:val="24"/>
        </w:rPr>
        <w:t>-</w:t>
      </w:r>
      <w:r w:rsidR="009B270B">
        <w:rPr>
          <w:rFonts w:ascii="宋体" w:hAnsi="宋体" w:hint="eastAsia"/>
          <w:sz w:val="24"/>
        </w:rPr>
        <w:t>0</w:t>
      </w:r>
      <w:r w:rsidR="00E50872">
        <w:rPr>
          <w:rFonts w:ascii="宋体" w:hAnsi="宋体"/>
          <w:sz w:val="24"/>
        </w:rPr>
        <w:t>23</w:t>
      </w:r>
    </w:p>
    <w:p w14:paraId="15D1915F" w14:textId="77777777" w:rsidR="00E50872" w:rsidRDefault="00E50872" w:rsidP="00C53567">
      <w:pPr>
        <w:jc w:val="center"/>
        <w:rPr>
          <w:rFonts w:ascii="黑体" w:eastAsia="黑体" w:hAnsi="黑体"/>
          <w:b/>
          <w:bCs/>
          <w:color w:val="FF0000"/>
          <w:sz w:val="30"/>
        </w:rPr>
      </w:pPr>
    </w:p>
    <w:p w14:paraId="6FAD54BE" w14:textId="6B4D76C0" w:rsidR="00C53567" w:rsidRPr="00E50872" w:rsidRDefault="00C53567" w:rsidP="00C53567">
      <w:pPr>
        <w:jc w:val="center"/>
        <w:rPr>
          <w:rFonts w:ascii="黑体" w:eastAsia="黑体" w:hAnsi="黑体"/>
          <w:b/>
          <w:bCs/>
          <w:color w:val="FF0000"/>
          <w:sz w:val="36"/>
          <w:szCs w:val="36"/>
        </w:rPr>
      </w:pPr>
      <w:r w:rsidRPr="00E50872">
        <w:rPr>
          <w:rFonts w:ascii="黑体" w:eastAsia="黑体" w:hAnsi="黑体" w:hint="eastAsia"/>
          <w:b/>
          <w:bCs/>
          <w:color w:val="FF0000"/>
          <w:sz w:val="36"/>
          <w:szCs w:val="36"/>
        </w:rPr>
        <w:t>沧州大化股份有限公司</w:t>
      </w:r>
    </w:p>
    <w:p w14:paraId="6798E9E4" w14:textId="77777777" w:rsidR="00C53567" w:rsidRPr="00E50872" w:rsidRDefault="00C53567" w:rsidP="00C53567">
      <w:pPr>
        <w:jc w:val="center"/>
        <w:rPr>
          <w:rFonts w:ascii="黑体" w:eastAsia="黑体" w:hAnsi="黑体"/>
          <w:b/>
          <w:bCs/>
          <w:color w:val="FF0000"/>
          <w:sz w:val="36"/>
          <w:szCs w:val="36"/>
        </w:rPr>
      </w:pPr>
      <w:r w:rsidRPr="00E50872">
        <w:rPr>
          <w:rFonts w:ascii="黑体" w:eastAsia="黑体" w:hAnsi="黑体" w:hint="eastAsia"/>
          <w:b/>
          <w:bCs/>
          <w:color w:val="FF0000"/>
          <w:sz w:val="36"/>
          <w:szCs w:val="36"/>
        </w:rPr>
        <w:t>关于股票交易异常波动公告</w:t>
      </w:r>
    </w:p>
    <w:p w14:paraId="7051CD2E" w14:textId="77777777" w:rsidR="00CD5E73" w:rsidRDefault="00CD5E73" w:rsidP="00581DEF">
      <w:pPr>
        <w:snapToGrid w:val="0"/>
        <w:spacing w:line="360" w:lineRule="auto"/>
        <w:ind w:firstLine="573"/>
        <w:rPr>
          <w:rFonts w:ascii="宋体" w:hAnsi="宋体"/>
          <w:sz w:val="24"/>
        </w:rPr>
      </w:pPr>
    </w:p>
    <w:p w14:paraId="0D39597F" w14:textId="10542079" w:rsidR="00C53567" w:rsidRPr="002501B7" w:rsidRDefault="00C53567" w:rsidP="00CD5E73">
      <w:pPr>
        <w:snapToGrid w:val="0"/>
        <w:spacing w:line="360" w:lineRule="auto"/>
        <w:ind w:firstLine="573"/>
        <w:rPr>
          <w:sz w:val="11"/>
          <w:szCs w:val="11"/>
        </w:rPr>
      </w:pPr>
      <w:r w:rsidRPr="008A6653">
        <w:rPr>
          <w:rFonts w:ascii="宋体" w:hAnsi="宋体" w:hint="eastAsia"/>
          <w:sz w:val="24"/>
        </w:rPr>
        <w:t>本公司董事会及全体董事保证本公告内容不存在任何虚假记载、误导性陈述或者重大遗漏，并对其内容的真实性、准确性和完整性承担</w:t>
      </w:r>
      <w:r w:rsidR="00E50872">
        <w:rPr>
          <w:rFonts w:ascii="宋体" w:hAnsi="宋体" w:hint="eastAsia"/>
          <w:sz w:val="24"/>
        </w:rPr>
        <w:t>法律</w:t>
      </w:r>
      <w:r w:rsidRPr="008A6653">
        <w:rPr>
          <w:rFonts w:ascii="宋体" w:hAnsi="宋体" w:hint="eastAsia"/>
          <w:sz w:val="24"/>
        </w:rPr>
        <w:t>责任。</w:t>
      </w:r>
    </w:p>
    <w:p w14:paraId="6C2B134F" w14:textId="77777777" w:rsidR="00B615C3" w:rsidRDefault="004479AD" w:rsidP="00581DEF">
      <w:pPr>
        <w:spacing w:line="360" w:lineRule="auto"/>
        <w:ind w:right="147" w:firstLineChars="200" w:firstLine="480"/>
        <w:rPr>
          <w:rFonts w:ascii="Wingdings" w:eastAsia="Wingdings" w:hAnsi="Wingdings" w:cs="Wingdings"/>
          <w:sz w:val="24"/>
          <w:szCs w:val="24"/>
        </w:rPr>
      </w:pPr>
      <w:r w:rsidRPr="00B615C3">
        <w:rPr>
          <w:rFonts w:ascii="Wingdings" w:eastAsia="Wingdings" w:hAnsi="Wingdings" w:cs="Wingdings" w:hint="eastAsia"/>
          <w:sz w:val="24"/>
          <w:szCs w:val="24"/>
        </w:rPr>
        <w:t>重要内容提示</w:t>
      </w:r>
    </w:p>
    <w:p w14:paraId="4B90A40D" w14:textId="0E70C9B6" w:rsidR="00B615C3" w:rsidRDefault="004479AD" w:rsidP="00581DEF">
      <w:pPr>
        <w:spacing w:line="360" w:lineRule="auto"/>
        <w:ind w:right="147" w:firstLineChars="200" w:firstLine="480"/>
        <w:rPr>
          <w:rFonts w:ascii="Wingdings" w:eastAsia="Wingdings" w:hAnsi="Wingdings" w:cs="Wingdings"/>
          <w:sz w:val="24"/>
          <w:szCs w:val="24"/>
        </w:rPr>
      </w:pPr>
      <w:r w:rsidRPr="004479AD">
        <w:rPr>
          <w:rFonts w:ascii="Wingdings" w:eastAsia="Wingdings" w:hAnsi="Wingdings" w:cs="Wingdings" w:hint="eastAsia"/>
          <w:sz w:val="24"/>
          <w:szCs w:val="24"/>
        </w:rPr>
        <w:t>◆</w:t>
      </w:r>
      <w:r>
        <w:rPr>
          <w:rFonts w:asciiTheme="minorEastAsia" w:hAnsiTheme="minorEastAsia" w:cs="Wingdings" w:hint="eastAsia"/>
          <w:sz w:val="24"/>
          <w:szCs w:val="24"/>
        </w:rPr>
        <w:t>沧州大化股份</w:t>
      </w:r>
      <w:r w:rsidR="005F3103">
        <w:rPr>
          <w:rFonts w:ascii="Wingdings" w:eastAsia="Wingdings" w:hAnsi="Wingdings" w:cs="Wingdings" w:hint="eastAsia"/>
          <w:sz w:val="24"/>
          <w:szCs w:val="24"/>
        </w:rPr>
        <w:t>有限公司（以下简称“公司”）股票</w:t>
      </w:r>
      <w:r w:rsidR="00E50872">
        <w:rPr>
          <w:rFonts w:asciiTheme="minorEastAsia" w:hAnsiTheme="minorEastAsia" w:cs="Wingdings" w:hint="eastAsia"/>
          <w:sz w:val="24"/>
          <w:szCs w:val="24"/>
        </w:rPr>
        <w:t>于2</w:t>
      </w:r>
      <w:r w:rsidR="00E50872">
        <w:rPr>
          <w:rFonts w:asciiTheme="minorEastAsia" w:hAnsiTheme="minorEastAsia" w:cs="Wingdings"/>
          <w:sz w:val="24"/>
          <w:szCs w:val="24"/>
        </w:rPr>
        <w:t>025</w:t>
      </w:r>
      <w:r w:rsidR="00E50872">
        <w:rPr>
          <w:rFonts w:asciiTheme="minorEastAsia" w:hAnsiTheme="minorEastAsia" w:cs="Wingdings" w:hint="eastAsia"/>
          <w:sz w:val="24"/>
          <w:szCs w:val="24"/>
        </w:rPr>
        <w:t>年7月1</w:t>
      </w:r>
      <w:r w:rsidR="00E50872">
        <w:rPr>
          <w:rFonts w:asciiTheme="minorEastAsia" w:hAnsiTheme="minorEastAsia" w:cs="Wingdings"/>
          <w:sz w:val="24"/>
          <w:szCs w:val="24"/>
        </w:rPr>
        <w:t>6</w:t>
      </w:r>
      <w:r w:rsidR="00E50872">
        <w:rPr>
          <w:rFonts w:asciiTheme="minorEastAsia" w:hAnsiTheme="minorEastAsia" w:cs="Wingdings" w:hint="eastAsia"/>
          <w:sz w:val="24"/>
          <w:szCs w:val="24"/>
        </w:rPr>
        <w:t>日、1</w:t>
      </w:r>
      <w:r w:rsidR="00E50872">
        <w:rPr>
          <w:rFonts w:asciiTheme="minorEastAsia" w:hAnsiTheme="minorEastAsia" w:cs="Wingdings"/>
          <w:sz w:val="24"/>
          <w:szCs w:val="24"/>
        </w:rPr>
        <w:t>7</w:t>
      </w:r>
      <w:r w:rsidR="00E50872">
        <w:rPr>
          <w:rFonts w:asciiTheme="minorEastAsia" w:hAnsiTheme="minorEastAsia" w:cs="Wingdings" w:hint="eastAsia"/>
          <w:sz w:val="24"/>
          <w:szCs w:val="24"/>
        </w:rPr>
        <w:t>日、1</w:t>
      </w:r>
      <w:r w:rsidR="00E50872">
        <w:rPr>
          <w:rFonts w:asciiTheme="minorEastAsia" w:hAnsiTheme="minorEastAsia" w:cs="Wingdings"/>
          <w:sz w:val="24"/>
          <w:szCs w:val="24"/>
        </w:rPr>
        <w:t>8</w:t>
      </w:r>
      <w:r w:rsidR="00E50872">
        <w:rPr>
          <w:rFonts w:asciiTheme="minorEastAsia" w:hAnsiTheme="minorEastAsia" w:cs="Wingdings" w:hint="eastAsia"/>
          <w:sz w:val="24"/>
          <w:szCs w:val="24"/>
        </w:rPr>
        <w:t>日</w:t>
      </w:r>
      <w:r w:rsidR="005F3103">
        <w:rPr>
          <w:rFonts w:ascii="Wingdings" w:eastAsia="Wingdings" w:hAnsi="Wingdings" w:cs="Wingdings" w:hint="eastAsia"/>
          <w:sz w:val="24"/>
          <w:szCs w:val="24"/>
        </w:rPr>
        <w:t>连续</w:t>
      </w:r>
      <w:r w:rsidR="009425FC">
        <w:rPr>
          <w:rFonts w:ascii="Wingdings" w:eastAsia="Wingdings" w:hAnsi="Wingdings" w:cs="Wingdings" w:hint="eastAsia"/>
          <w:sz w:val="24"/>
          <w:szCs w:val="24"/>
        </w:rPr>
        <w:t>三</w:t>
      </w:r>
      <w:r w:rsidR="005F3103">
        <w:rPr>
          <w:rFonts w:ascii="Wingdings" w:eastAsia="Wingdings" w:hAnsi="Wingdings" w:cs="Wingdings" w:hint="eastAsia"/>
          <w:sz w:val="24"/>
          <w:szCs w:val="24"/>
        </w:rPr>
        <w:t>个交易日收盘价格涨</w:t>
      </w:r>
      <w:r w:rsidRPr="004479AD">
        <w:rPr>
          <w:rFonts w:ascii="Wingdings" w:eastAsia="Wingdings" w:hAnsi="Wingdings" w:cs="Wingdings" w:hint="eastAsia"/>
          <w:sz w:val="24"/>
          <w:szCs w:val="24"/>
        </w:rPr>
        <w:t>幅偏离值累计超过</w:t>
      </w:r>
      <w:r w:rsidR="002D5733">
        <w:rPr>
          <w:rFonts w:asciiTheme="minorEastAsia" w:hAnsiTheme="minorEastAsia" w:cs="Wingdings" w:hint="eastAsia"/>
          <w:sz w:val="24"/>
          <w:szCs w:val="24"/>
        </w:rPr>
        <w:t>20</w:t>
      </w:r>
      <w:r>
        <w:rPr>
          <w:rFonts w:asciiTheme="minorEastAsia" w:hAnsiTheme="minorEastAsia" w:cs="Wingdings" w:hint="eastAsia"/>
          <w:sz w:val="24"/>
          <w:szCs w:val="24"/>
        </w:rPr>
        <w:t>%</w:t>
      </w:r>
      <w:r w:rsidRPr="004479AD">
        <w:rPr>
          <w:rFonts w:ascii="Wingdings" w:eastAsia="Wingdings" w:hAnsi="Wingdings" w:cs="Wingdings" w:hint="eastAsia"/>
          <w:sz w:val="24"/>
          <w:szCs w:val="24"/>
        </w:rPr>
        <w:t>。根据《上海证券交易所交易规则》的有关规定，属于股票交易异常波动。</w:t>
      </w:r>
    </w:p>
    <w:p w14:paraId="06F2655C" w14:textId="77777777" w:rsidR="00D47465" w:rsidRDefault="00D47465" w:rsidP="00581DEF">
      <w:pPr>
        <w:spacing w:line="360" w:lineRule="auto"/>
        <w:ind w:right="147" w:firstLineChars="200" w:firstLine="480"/>
        <w:rPr>
          <w:rFonts w:ascii="Wingdings" w:eastAsia="Wingdings" w:hAnsi="Wingdings" w:cs="Wingdings"/>
          <w:sz w:val="24"/>
          <w:szCs w:val="24"/>
        </w:rPr>
      </w:pPr>
      <w:r w:rsidRPr="004479AD">
        <w:rPr>
          <w:rFonts w:ascii="Wingdings" w:eastAsia="Wingdings" w:hAnsi="Wingdings" w:cs="Wingdings" w:hint="eastAsia"/>
          <w:sz w:val="24"/>
          <w:szCs w:val="24"/>
        </w:rPr>
        <w:t>◆</w:t>
      </w:r>
      <w:r w:rsidRPr="00D47465">
        <w:rPr>
          <w:rFonts w:ascii="Wingdings" w:eastAsia="Wingdings" w:hAnsi="Wingdings" w:cs="Wingdings" w:hint="eastAsia"/>
          <w:sz w:val="24"/>
          <w:szCs w:val="24"/>
        </w:rPr>
        <w:t>经公司自查并向控股股东及实际控制人核实，截至本公告披露日，不存在应披露而未披露的重大信息。</w:t>
      </w:r>
    </w:p>
    <w:p w14:paraId="1C273DB6" w14:textId="6FEB54A9" w:rsidR="002D6351" w:rsidRDefault="00367ED8" w:rsidP="002D6351">
      <w:pPr>
        <w:spacing w:line="360" w:lineRule="auto"/>
        <w:ind w:right="147" w:firstLineChars="200" w:firstLine="480"/>
        <w:rPr>
          <w:rFonts w:ascii="Wingdings" w:eastAsia="Wingdings" w:hAnsi="Wingdings" w:cs="Wingdings"/>
          <w:sz w:val="24"/>
          <w:szCs w:val="24"/>
        </w:rPr>
      </w:pPr>
      <w:r w:rsidRPr="004479AD">
        <w:rPr>
          <w:rFonts w:ascii="Wingdings" w:eastAsia="Wingdings" w:hAnsi="Wingdings" w:cs="Wingdings" w:hint="eastAsia"/>
          <w:sz w:val="24"/>
          <w:szCs w:val="24"/>
        </w:rPr>
        <w:t>◆</w:t>
      </w:r>
      <w:r>
        <w:rPr>
          <w:rFonts w:ascii="Wingdings" w:eastAsia="Wingdings" w:hAnsi="Wingdings" w:cs="Wingdings" w:hint="eastAsia"/>
          <w:sz w:val="24"/>
          <w:szCs w:val="24"/>
        </w:rPr>
        <w:t>公司</w:t>
      </w:r>
      <w:r w:rsidR="00884CD7">
        <w:rPr>
          <w:rFonts w:asciiTheme="minorEastAsia" w:hAnsiTheme="minorEastAsia" w:cs="Wingdings" w:hint="eastAsia"/>
          <w:sz w:val="24"/>
          <w:szCs w:val="24"/>
        </w:rPr>
        <w:t>敬请广大投资者注意二级市场交易风险，</w:t>
      </w:r>
      <w:r w:rsidR="002D6351" w:rsidRPr="009E7172">
        <w:rPr>
          <w:rFonts w:ascii="Wingdings" w:eastAsia="Wingdings" w:hAnsi="Wingdings" w:cs="Wingdings" w:hint="eastAsia"/>
          <w:sz w:val="24"/>
          <w:szCs w:val="24"/>
        </w:rPr>
        <w:t>理性</w:t>
      </w:r>
      <w:r w:rsidR="00884CD7">
        <w:rPr>
          <w:rFonts w:asciiTheme="minorEastAsia" w:hAnsiTheme="minorEastAsia" w:cs="Wingdings" w:hint="eastAsia"/>
          <w:sz w:val="24"/>
          <w:szCs w:val="24"/>
        </w:rPr>
        <w:t>决策</w:t>
      </w:r>
      <w:r w:rsidRPr="009E7172">
        <w:rPr>
          <w:rFonts w:ascii="Wingdings" w:eastAsia="Wingdings" w:hAnsi="Wingdings" w:cs="Wingdings" w:hint="eastAsia"/>
          <w:sz w:val="24"/>
          <w:szCs w:val="24"/>
        </w:rPr>
        <w:t>，</w:t>
      </w:r>
      <w:r w:rsidR="00884CD7">
        <w:rPr>
          <w:rFonts w:asciiTheme="minorEastAsia" w:hAnsiTheme="minorEastAsia" w:cs="Wingdings" w:hint="eastAsia"/>
          <w:sz w:val="24"/>
          <w:szCs w:val="24"/>
        </w:rPr>
        <w:t>审慎投资</w:t>
      </w:r>
      <w:r w:rsidR="002D6351" w:rsidRPr="009E7172">
        <w:rPr>
          <w:rFonts w:ascii="Wingdings" w:eastAsia="Wingdings" w:hAnsi="Wingdings" w:cs="Wingdings" w:hint="eastAsia"/>
          <w:sz w:val="24"/>
          <w:szCs w:val="24"/>
        </w:rPr>
        <w:t>。</w:t>
      </w:r>
    </w:p>
    <w:p w14:paraId="287726F1" w14:textId="77777777" w:rsidR="002A4962" w:rsidRPr="002A4962" w:rsidRDefault="002A4962" w:rsidP="002D6351">
      <w:pPr>
        <w:spacing w:line="360" w:lineRule="auto"/>
        <w:ind w:right="147" w:firstLineChars="200" w:firstLine="480"/>
        <w:rPr>
          <w:rFonts w:ascii="Wingdings" w:eastAsia="Wingdings" w:hAnsi="Wingdings" w:cs="Wingdings"/>
          <w:sz w:val="24"/>
          <w:szCs w:val="24"/>
        </w:rPr>
      </w:pPr>
    </w:p>
    <w:p w14:paraId="7E1DAB63" w14:textId="77777777" w:rsidR="00B615C3" w:rsidRPr="002A4962" w:rsidRDefault="004479AD" w:rsidP="002A4962">
      <w:pPr>
        <w:spacing w:line="360" w:lineRule="auto"/>
        <w:ind w:right="147" w:firstLineChars="200" w:firstLine="482"/>
        <w:rPr>
          <w:rFonts w:ascii="Wingdings" w:eastAsia="Wingdings" w:hAnsi="Wingdings" w:cs="Wingdings"/>
          <w:b/>
          <w:sz w:val="24"/>
          <w:szCs w:val="24"/>
        </w:rPr>
      </w:pPr>
      <w:r w:rsidRPr="002A4962">
        <w:rPr>
          <w:rFonts w:ascii="Wingdings" w:eastAsia="Wingdings" w:hAnsi="Wingdings" w:cs="Wingdings" w:hint="eastAsia"/>
          <w:b/>
          <w:sz w:val="24"/>
          <w:szCs w:val="24"/>
        </w:rPr>
        <w:t>一、</w:t>
      </w:r>
      <w:r w:rsidRPr="002A4962">
        <w:rPr>
          <w:rFonts w:ascii="Wingdings" w:eastAsia="Wingdings" w:hAnsi="Wingdings" w:cs="Wingdings"/>
          <w:b/>
          <w:sz w:val="24"/>
          <w:szCs w:val="24"/>
        </w:rPr>
        <w:t></w:t>
      </w:r>
      <w:r w:rsidRPr="002A4962">
        <w:rPr>
          <w:rFonts w:ascii="Wingdings" w:eastAsia="Wingdings" w:hAnsi="Wingdings" w:cs="Wingdings" w:hint="eastAsia"/>
          <w:b/>
          <w:sz w:val="24"/>
          <w:szCs w:val="24"/>
        </w:rPr>
        <w:t>股票交易异常波动的具体情况</w:t>
      </w:r>
    </w:p>
    <w:p w14:paraId="5344EBE0" w14:textId="37281239" w:rsidR="00B615C3" w:rsidRDefault="00531423" w:rsidP="00581DEF">
      <w:pPr>
        <w:spacing w:line="360" w:lineRule="auto"/>
        <w:ind w:right="147" w:firstLineChars="200" w:firstLine="480"/>
        <w:rPr>
          <w:rFonts w:asciiTheme="minorEastAsia" w:hAnsiTheme="minorEastAsia" w:cs="Wingdings"/>
          <w:sz w:val="24"/>
          <w:szCs w:val="24"/>
        </w:rPr>
      </w:pPr>
      <w:r>
        <w:rPr>
          <w:rFonts w:asciiTheme="minorEastAsia" w:hAnsiTheme="minorEastAsia" w:cs="Wingdings" w:hint="eastAsia"/>
          <w:sz w:val="24"/>
          <w:szCs w:val="24"/>
        </w:rPr>
        <w:t>公司股票</w:t>
      </w:r>
      <w:r w:rsidR="00884CD7">
        <w:rPr>
          <w:rFonts w:asciiTheme="minorEastAsia" w:hAnsiTheme="minorEastAsia" w:cs="Wingdings" w:hint="eastAsia"/>
          <w:sz w:val="24"/>
          <w:szCs w:val="24"/>
        </w:rPr>
        <w:t>于2</w:t>
      </w:r>
      <w:r w:rsidR="00884CD7">
        <w:rPr>
          <w:rFonts w:asciiTheme="minorEastAsia" w:hAnsiTheme="minorEastAsia" w:cs="Wingdings"/>
          <w:sz w:val="24"/>
          <w:szCs w:val="24"/>
        </w:rPr>
        <w:t>025</w:t>
      </w:r>
      <w:r w:rsidR="004479AD" w:rsidRPr="00705803">
        <w:rPr>
          <w:rFonts w:asciiTheme="minorEastAsia" w:hAnsiTheme="minorEastAsia" w:cs="Wingdings" w:hint="eastAsia"/>
          <w:sz w:val="24"/>
          <w:szCs w:val="24"/>
        </w:rPr>
        <w:t>年</w:t>
      </w:r>
      <w:r w:rsidR="00884CD7">
        <w:rPr>
          <w:rFonts w:asciiTheme="minorEastAsia" w:hAnsiTheme="minorEastAsia" w:cs="Wingdings"/>
          <w:sz w:val="24"/>
          <w:szCs w:val="24"/>
        </w:rPr>
        <w:t>7</w:t>
      </w:r>
      <w:r w:rsidR="004479AD" w:rsidRPr="00705803">
        <w:rPr>
          <w:rFonts w:asciiTheme="minorEastAsia" w:hAnsiTheme="minorEastAsia" w:cs="Wingdings" w:hint="eastAsia"/>
          <w:sz w:val="24"/>
          <w:szCs w:val="24"/>
        </w:rPr>
        <w:t>月</w:t>
      </w:r>
      <w:r w:rsidR="002507D2">
        <w:rPr>
          <w:rFonts w:asciiTheme="minorEastAsia" w:hAnsiTheme="minorEastAsia" w:cs="Wingdings" w:hint="eastAsia"/>
          <w:sz w:val="24"/>
          <w:szCs w:val="24"/>
        </w:rPr>
        <w:t>1</w:t>
      </w:r>
      <w:r w:rsidR="00884CD7">
        <w:rPr>
          <w:rFonts w:asciiTheme="minorEastAsia" w:hAnsiTheme="minorEastAsia" w:cs="Wingdings"/>
          <w:sz w:val="24"/>
          <w:szCs w:val="24"/>
        </w:rPr>
        <w:t>6</w:t>
      </w:r>
      <w:r w:rsidR="004479AD" w:rsidRPr="00705803">
        <w:rPr>
          <w:rFonts w:asciiTheme="minorEastAsia" w:hAnsiTheme="minorEastAsia" w:cs="Wingdings" w:hint="eastAsia"/>
          <w:sz w:val="24"/>
          <w:szCs w:val="24"/>
        </w:rPr>
        <w:t>日、</w:t>
      </w:r>
      <w:r w:rsidR="002507D2">
        <w:rPr>
          <w:rFonts w:asciiTheme="minorEastAsia" w:hAnsiTheme="minorEastAsia" w:cs="Wingdings" w:hint="eastAsia"/>
          <w:sz w:val="24"/>
          <w:szCs w:val="24"/>
        </w:rPr>
        <w:t>1</w:t>
      </w:r>
      <w:r w:rsidR="00884CD7">
        <w:rPr>
          <w:rFonts w:asciiTheme="minorEastAsia" w:hAnsiTheme="minorEastAsia" w:cs="Wingdings"/>
          <w:sz w:val="24"/>
          <w:szCs w:val="24"/>
        </w:rPr>
        <w:t>7</w:t>
      </w:r>
      <w:r w:rsidR="004479AD" w:rsidRPr="00705803">
        <w:rPr>
          <w:rFonts w:asciiTheme="minorEastAsia" w:hAnsiTheme="minorEastAsia" w:cs="Wingdings" w:hint="eastAsia"/>
          <w:sz w:val="24"/>
          <w:szCs w:val="24"/>
        </w:rPr>
        <w:t>日</w:t>
      </w:r>
      <w:r w:rsidR="005A3705">
        <w:rPr>
          <w:rFonts w:asciiTheme="minorEastAsia" w:hAnsiTheme="minorEastAsia" w:cs="Wingdings" w:hint="eastAsia"/>
          <w:sz w:val="24"/>
          <w:szCs w:val="24"/>
        </w:rPr>
        <w:t>、</w:t>
      </w:r>
      <w:r w:rsidR="00594BD6">
        <w:rPr>
          <w:rFonts w:asciiTheme="minorEastAsia" w:hAnsiTheme="minorEastAsia" w:cs="Wingdings" w:hint="eastAsia"/>
          <w:sz w:val="24"/>
          <w:szCs w:val="24"/>
        </w:rPr>
        <w:t>1</w:t>
      </w:r>
      <w:r w:rsidR="00884CD7">
        <w:rPr>
          <w:rFonts w:asciiTheme="minorEastAsia" w:hAnsiTheme="minorEastAsia" w:cs="Wingdings"/>
          <w:sz w:val="24"/>
          <w:szCs w:val="24"/>
        </w:rPr>
        <w:t>8</w:t>
      </w:r>
      <w:r w:rsidR="005A3705">
        <w:rPr>
          <w:rFonts w:asciiTheme="minorEastAsia" w:hAnsiTheme="minorEastAsia" w:cs="Wingdings" w:hint="eastAsia"/>
          <w:sz w:val="24"/>
          <w:szCs w:val="24"/>
        </w:rPr>
        <w:t>日</w:t>
      </w:r>
      <w:r w:rsidR="004479AD" w:rsidRPr="00705803">
        <w:rPr>
          <w:rFonts w:asciiTheme="minorEastAsia" w:hAnsiTheme="minorEastAsia" w:cs="Wingdings" w:hint="eastAsia"/>
          <w:sz w:val="24"/>
          <w:szCs w:val="24"/>
        </w:rPr>
        <w:t>连续</w:t>
      </w:r>
      <w:r w:rsidR="005A3705">
        <w:rPr>
          <w:rFonts w:asciiTheme="minorEastAsia" w:hAnsiTheme="minorEastAsia" w:cs="Wingdings" w:hint="eastAsia"/>
          <w:sz w:val="24"/>
          <w:szCs w:val="24"/>
        </w:rPr>
        <w:t>三</w:t>
      </w:r>
      <w:r w:rsidR="004479AD" w:rsidRPr="00705803">
        <w:rPr>
          <w:rFonts w:asciiTheme="minorEastAsia" w:hAnsiTheme="minorEastAsia" w:cs="Wingdings" w:hint="eastAsia"/>
          <w:sz w:val="24"/>
          <w:szCs w:val="24"/>
        </w:rPr>
        <w:t>个交易日内收盘价格</w:t>
      </w:r>
      <w:r w:rsidR="005F3103">
        <w:rPr>
          <w:rFonts w:asciiTheme="minorEastAsia" w:hAnsiTheme="minorEastAsia" w:cs="Wingdings" w:hint="eastAsia"/>
          <w:sz w:val="24"/>
          <w:szCs w:val="24"/>
        </w:rPr>
        <w:t>涨</w:t>
      </w:r>
      <w:r w:rsidR="004479AD" w:rsidRPr="00705803">
        <w:rPr>
          <w:rFonts w:asciiTheme="minorEastAsia" w:hAnsiTheme="minorEastAsia" w:cs="Wingdings" w:hint="eastAsia"/>
          <w:sz w:val="24"/>
          <w:szCs w:val="24"/>
        </w:rPr>
        <w:t>幅偏离值累计达到</w:t>
      </w:r>
      <w:r w:rsidR="00533F88">
        <w:rPr>
          <w:rFonts w:asciiTheme="minorEastAsia" w:hAnsiTheme="minorEastAsia" w:cs="Wingdings" w:hint="eastAsia"/>
          <w:sz w:val="24"/>
          <w:szCs w:val="24"/>
        </w:rPr>
        <w:t>20</w:t>
      </w:r>
      <w:r w:rsidR="004479AD" w:rsidRPr="00705803">
        <w:rPr>
          <w:rFonts w:asciiTheme="minorEastAsia" w:hAnsiTheme="minorEastAsia" w:cs="Wingdings" w:hint="eastAsia"/>
          <w:sz w:val="24"/>
          <w:szCs w:val="24"/>
        </w:rPr>
        <w:t>%，根据《上海证券交易所股票交易规则》的有关规定，属于</w:t>
      </w:r>
      <w:r w:rsidR="00884CD7">
        <w:rPr>
          <w:rFonts w:asciiTheme="minorEastAsia" w:hAnsiTheme="minorEastAsia" w:cs="Wingdings" w:hint="eastAsia"/>
          <w:sz w:val="24"/>
          <w:szCs w:val="24"/>
        </w:rPr>
        <w:t>股票</w:t>
      </w:r>
      <w:r w:rsidR="004479AD" w:rsidRPr="00705803">
        <w:rPr>
          <w:rFonts w:asciiTheme="minorEastAsia" w:hAnsiTheme="minorEastAsia" w:cs="Wingdings" w:hint="eastAsia"/>
          <w:sz w:val="24"/>
          <w:szCs w:val="24"/>
        </w:rPr>
        <w:t>异常波动</w:t>
      </w:r>
      <w:r w:rsidR="00884CD7">
        <w:rPr>
          <w:rFonts w:asciiTheme="minorEastAsia" w:hAnsiTheme="minorEastAsia" w:cs="Wingdings" w:hint="eastAsia"/>
          <w:sz w:val="24"/>
          <w:szCs w:val="24"/>
        </w:rPr>
        <w:t>情形</w:t>
      </w:r>
      <w:r w:rsidR="004479AD" w:rsidRPr="00705803">
        <w:rPr>
          <w:rFonts w:asciiTheme="minorEastAsia" w:hAnsiTheme="minorEastAsia" w:cs="Wingdings" w:hint="eastAsia"/>
          <w:sz w:val="24"/>
          <w:szCs w:val="24"/>
        </w:rPr>
        <w:t>。</w:t>
      </w:r>
    </w:p>
    <w:p w14:paraId="1619D468" w14:textId="77777777" w:rsidR="00B615C3" w:rsidRPr="002A4962" w:rsidRDefault="00C53567" w:rsidP="002A4962">
      <w:pPr>
        <w:spacing w:line="360" w:lineRule="auto"/>
        <w:ind w:right="147" w:firstLineChars="200" w:firstLine="482"/>
        <w:rPr>
          <w:rFonts w:asciiTheme="minorEastAsia" w:hAnsiTheme="minorEastAsia" w:cs="Wingdings"/>
          <w:b/>
          <w:sz w:val="24"/>
          <w:szCs w:val="24"/>
        </w:rPr>
      </w:pPr>
      <w:r w:rsidRPr="002A4962">
        <w:rPr>
          <w:rFonts w:asciiTheme="minorEastAsia" w:hAnsiTheme="minorEastAsia" w:cs="Wingdings" w:hint="eastAsia"/>
          <w:b/>
          <w:sz w:val="24"/>
          <w:szCs w:val="24"/>
        </w:rPr>
        <w:t>二、公司关注并核实的相关情况</w:t>
      </w:r>
    </w:p>
    <w:p w14:paraId="77F66010" w14:textId="0BB1598D" w:rsidR="00B615C3" w:rsidRDefault="00531423" w:rsidP="00581DEF">
      <w:pPr>
        <w:spacing w:line="360" w:lineRule="auto"/>
        <w:ind w:right="147" w:firstLineChars="200" w:firstLine="480"/>
        <w:rPr>
          <w:rFonts w:asciiTheme="minorEastAsia" w:hAnsiTheme="minorEastAsia" w:cs="Wingdings"/>
          <w:sz w:val="24"/>
          <w:szCs w:val="24"/>
        </w:rPr>
      </w:pPr>
      <w:r>
        <w:rPr>
          <w:rFonts w:asciiTheme="minorEastAsia" w:hAnsiTheme="minorEastAsia" w:cs="Wingdings" w:hint="eastAsia"/>
          <w:sz w:val="24"/>
          <w:szCs w:val="24"/>
        </w:rPr>
        <w:t>针对公司股票异常波动的情况，公司对有关事项进行了核查，并发函询问了</w:t>
      </w:r>
      <w:r w:rsidR="004479AD" w:rsidRPr="004479AD">
        <w:rPr>
          <w:rFonts w:ascii="Wingdings" w:eastAsia="Wingdings" w:hAnsi="Wingdings" w:cs="Wingdings" w:hint="eastAsia"/>
          <w:sz w:val="24"/>
          <w:szCs w:val="24"/>
        </w:rPr>
        <w:t>控股股东</w:t>
      </w:r>
      <w:r>
        <w:rPr>
          <w:rFonts w:asciiTheme="minorEastAsia" w:hAnsiTheme="minorEastAsia" w:cs="Wingdings" w:hint="eastAsia"/>
          <w:sz w:val="24"/>
          <w:szCs w:val="24"/>
        </w:rPr>
        <w:t>及实控人，现</w:t>
      </w:r>
      <w:r w:rsidR="004479AD" w:rsidRPr="004479AD">
        <w:rPr>
          <w:rFonts w:ascii="Wingdings" w:eastAsia="Wingdings" w:hAnsi="Wingdings" w:cs="Wingdings" w:hint="eastAsia"/>
          <w:sz w:val="24"/>
          <w:szCs w:val="24"/>
        </w:rPr>
        <w:t>就有关情况说明如下</w:t>
      </w:r>
      <w:r w:rsidR="004479AD">
        <w:rPr>
          <w:rFonts w:asciiTheme="minorEastAsia" w:hAnsiTheme="minorEastAsia" w:cs="Wingdings" w:hint="eastAsia"/>
          <w:sz w:val="24"/>
          <w:szCs w:val="24"/>
        </w:rPr>
        <w:t>：</w:t>
      </w:r>
    </w:p>
    <w:p w14:paraId="41D02E30" w14:textId="6DDD9A70" w:rsidR="00764013" w:rsidRPr="00D8737A" w:rsidRDefault="00531423" w:rsidP="00581DEF">
      <w:pPr>
        <w:spacing w:line="360" w:lineRule="auto"/>
        <w:ind w:right="147" w:firstLineChars="200" w:firstLine="480"/>
        <w:rPr>
          <w:rFonts w:asciiTheme="minorEastAsia" w:hAnsiTheme="minorEastAsia" w:cs="Wingdings"/>
          <w:color w:val="000000" w:themeColor="text1"/>
          <w:sz w:val="24"/>
          <w:szCs w:val="24"/>
        </w:rPr>
      </w:pPr>
      <w:r>
        <w:rPr>
          <w:rFonts w:asciiTheme="minorEastAsia" w:hAnsiTheme="minorEastAsia" w:cs="Wingdings" w:hint="eastAsia"/>
          <w:sz w:val="24"/>
          <w:szCs w:val="24"/>
        </w:rPr>
        <w:t>（一）生产经营情况。经公司自查，</w:t>
      </w:r>
      <w:r w:rsidR="006E5CD6" w:rsidRPr="00D8737A">
        <w:rPr>
          <w:rFonts w:asciiTheme="minorEastAsia" w:hAnsiTheme="minorEastAsia" w:cs="Wingdings" w:hint="eastAsia"/>
          <w:color w:val="000000" w:themeColor="text1"/>
          <w:sz w:val="24"/>
          <w:szCs w:val="24"/>
        </w:rPr>
        <w:t>公司</w:t>
      </w:r>
      <w:r w:rsidR="001E5CA8">
        <w:rPr>
          <w:rFonts w:asciiTheme="minorEastAsia" w:hAnsiTheme="minorEastAsia" w:cs="Wingdings" w:hint="eastAsia"/>
          <w:color w:val="000000" w:themeColor="text1"/>
          <w:sz w:val="24"/>
          <w:szCs w:val="24"/>
        </w:rPr>
        <w:t>目前</w:t>
      </w:r>
      <w:r w:rsidR="006E5CD6" w:rsidRPr="00D8737A">
        <w:rPr>
          <w:rFonts w:asciiTheme="minorEastAsia" w:hAnsiTheme="minorEastAsia" w:cs="Wingdings" w:hint="eastAsia"/>
          <w:color w:val="000000" w:themeColor="text1"/>
          <w:sz w:val="24"/>
          <w:szCs w:val="24"/>
        </w:rPr>
        <w:t>生产经营正常</w:t>
      </w:r>
      <w:r w:rsidR="00BB3527" w:rsidRPr="00D8737A">
        <w:rPr>
          <w:rFonts w:asciiTheme="minorEastAsia" w:hAnsiTheme="minorEastAsia" w:cs="Wingdings" w:hint="eastAsia"/>
          <w:color w:val="000000" w:themeColor="text1"/>
          <w:sz w:val="24"/>
          <w:szCs w:val="24"/>
        </w:rPr>
        <w:t>，市场环境及行业政策未发生重大调整、</w:t>
      </w:r>
      <w:r w:rsidR="001E5CA8">
        <w:rPr>
          <w:rFonts w:asciiTheme="minorEastAsia" w:hAnsiTheme="minorEastAsia" w:cs="Wingdings" w:hint="eastAsia"/>
          <w:color w:val="000000" w:themeColor="text1"/>
          <w:sz w:val="24"/>
          <w:szCs w:val="24"/>
        </w:rPr>
        <w:t>生产成本和销售情况未</w:t>
      </w:r>
      <w:r w:rsidR="00BB3527" w:rsidRPr="00D8737A">
        <w:rPr>
          <w:rFonts w:asciiTheme="minorEastAsia" w:hAnsiTheme="minorEastAsia" w:cs="Wingdings" w:hint="eastAsia"/>
          <w:color w:val="000000" w:themeColor="text1"/>
          <w:sz w:val="24"/>
          <w:szCs w:val="24"/>
        </w:rPr>
        <w:t>出现大幅度波动</w:t>
      </w:r>
      <w:r w:rsidR="001E5CA8">
        <w:rPr>
          <w:rFonts w:asciiTheme="minorEastAsia" w:hAnsiTheme="minorEastAsia" w:cs="Wingdings" w:hint="eastAsia"/>
          <w:color w:val="000000" w:themeColor="text1"/>
          <w:sz w:val="24"/>
          <w:szCs w:val="24"/>
        </w:rPr>
        <w:t>，内部生产经营秩序正常。</w:t>
      </w:r>
    </w:p>
    <w:p w14:paraId="6102A4FD" w14:textId="7E774E4C" w:rsidR="00531423" w:rsidRDefault="00531423" w:rsidP="00581DEF">
      <w:pPr>
        <w:spacing w:line="360" w:lineRule="auto"/>
        <w:ind w:right="147" w:firstLineChars="200" w:firstLine="480"/>
        <w:rPr>
          <w:rFonts w:asciiTheme="minorEastAsia" w:hAnsiTheme="minorEastAsia" w:cs="Wingdings"/>
          <w:color w:val="000000" w:themeColor="text1"/>
          <w:sz w:val="24"/>
          <w:szCs w:val="24"/>
        </w:rPr>
      </w:pPr>
      <w:r>
        <w:rPr>
          <w:rFonts w:asciiTheme="minorEastAsia" w:hAnsiTheme="minorEastAsia" w:cs="Wingdings" w:hint="eastAsia"/>
          <w:color w:val="000000" w:themeColor="text1"/>
          <w:sz w:val="24"/>
          <w:szCs w:val="24"/>
        </w:rPr>
        <w:t>（二）重大事项情况。经公司自查，并得到控股股东及实控人确认：截至本公告披露日，除了在</w:t>
      </w:r>
      <w:r w:rsidR="00B3184E">
        <w:rPr>
          <w:rFonts w:asciiTheme="minorEastAsia" w:hAnsiTheme="minorEastAsia" w:cs="Wingdings" w:hint="eastAsia"/>
          <w:color w:val="000000" w:themeColor="text1"/>
          <w:sz w:val="24"/>
          <w:szCs w:val="24"/>
        </w:rPr>
        <w:t>指</w:t>
      </w:r>
      <w:r>
        <w:rPr>
          <w:rFonts w:asciiTheme="minorEastAsia" w:hAnsiTheme="minorEastAsia" w:cs="Wingdings" w:hint="eastAsia"/>
          <w:color w:val="000000" w:themeColor="text1"/>
          <w:sz w:val="24"/>
          <w:szCs w:val="24"/>
        </w:rPr>
        <w:t>定媒体上已公开披露的信息外，不存在影响公司股票交易价格异常波动的重大事宜，不存在</w:t>
      </w:r>
      <w:r w:rsidRPr="00D8737A">
        <w:rPr>
          <w:rFonts w:ascii="Wingdings" w:eastAsia="Wingdings" w:hAnsi="Wingdings" w:cs="Wingdings" w:hint="eastAsia"/>
          <w:color w:val="000000" w:themeColor="text1"/>
          <w:sz w:val="24"/>
          <w:szCs w:val="24"/>
        </w:rPr>
        <w:t>其他</w:t>
      </w:r>
      <w:r>
        <w:rPr>
          <w:rFonts w:asciiTheme="minorEastAsia" w:hAnsiTheme="minorEastAsia" w:cs="Wingdings" w:hint="eastAsia"/>
          <w:color w:val="000000" w:themeColor="text1"/>
          <w:sz w:val="24"/>
          <w:szCs w:val="24"/>
        </w:rPr>
        <w:t>涉及本公司</w:t>
      </w:r>
      <w:r w:rsidRPr="00D8737A">
        <w:rPr>
          <w:rFonts w:ascii="Wingdings" w:eastAsia="Wingdings" w:hAnsi="Wingdings" w:cs="Wingdings" w:hint="eastAsia"/>
          <w:color w:val="000000" w:themeColor="text1"/>
          <w:sz w:val="24"/>
          <w:szCs w:val="24"/>
        </w:rPr>
        <w:t>应披露而未披露的重大信息，包括但不限于</w:t>
      </w:r>
      <w:r w:rsidRPr="00531423">
        <w:rPr>
          <w:rFonts w:asciiTheme="minorEastAsia" w:hAnsiTheme="minorEastAsia" w:cs="Wingdings"/>
          <w:color w:val="000000" w:themeColor="text1"/>
          <w:sz w:val="24"/>
          <w:szCs w:val="24"/>
        </w:rPr>
        <w:t xml:space="preserve">重大资产重组、股份发行、收购、债务重组、业务重组、资产剥离、资产注入、股份回购、股权激励、破产重组、重大业务合作、引进战略投资者等重大事项。 </w:t>
      </w:r>
    </w:p>
    <w:p w14:paraId="7A44CB39" w14:textId="60D1DEE0" w:rsidR="00531423" w:rsidRPr="00531423" w:rsidRDefault="00531423" w:rsidP="00581DEF">
      <w:pPr>
        <w:spacing w:line="360" w:lineRule="auto"/>
        <w:ind w:right="147" w:firstLineChars="200" w:firstLine="480"/>
        <w:rPr>
          <w:rFonts w:asciiTheme="minorEastAsia" w:hAnsiTheme="minorEastAsia" w:cs="Wingdings"/>
          <w:color w:val="000000" w:themeColor="text1"/>
          <w:sz w:val="24"/>
          <w:szCs w:val="24"/>
        </w:rPr>
      </w:pPr>
      <w:r w:rsidRPr="00531423">
        <w:rPr>
          <w:rFonts w:asciiTheme="minorEastAsia" w:hAnsiTheme="minorEastAsia" w:cs="Wingdings"/>
          <w:color w:val="000000" w:themeColor="text1"/>
          <w:sz w:val="24"/>
          <w:szCs w:val="24"/>
        </w:rPr>
        <w:lastRenderedPageBreak/>
        <w:t>（三）媒体报道、市场传闻、热点概念情况。经公司自查，公司未发现存在对公司股票交易价格可能产生重大影响的媒体报道及市场传闻，也未发现存在涉及市场热点概念事项。</w:t>
      </w:r>
    </w:p>
    <w:p w14:paraId="17CC097E" w14:textId="58823EB7" w:rsidR="00531423" w:rsidRDefault="00531423" w:rsidP="00581DEF">
      <w:pPr>
        <w:spacing w:line="360" w:lineRule="auto"/>
        <w:ind w:right="147" w:firstLineChars="200" w:firstLine="480"/>
        <w:rPr>
          <w:rFonts w:asciiTheme="minorEastAsia" w:hAnsiTheme="minorEastAsia" w:cs="Wingdings"/>
          <w:color w:val="000000" w:themeColor="text1"/>
          <w:sz w:val="24"/>
          <w:szCs w:val="24"/>
        </w:rPr>
      </w:pPr>
      <w:r w:rsidRPr="00531423">
        <w:rPr>
          <w:rFonts w:asciiTheme="minorEastAsia" w:hAnsiTheme="minorEastAsia" w:cs="Wingdings"/>
          <w:color w:val="000000" w:themeColor="text1"/>
          <w:sz w:val="24"/>
          <w:szCs w:val="24"/>
        </w:rPr>
        <w:t xml:space="preserve"> （四）其他股价敏感信息。经核实，公司未发现其他有可能对公司股价产生较大影响的重大事件，公司董事、监事、高级管理人员、控股股东及实际控制人在公司本次股票交易异常波动期间不存在买卖公司股票的情况。</w:t>
      </w:r>
    </w:p>
    <w:p w14:paraId="18BE95E0" w14:textId="0B041213" w:rsidR="00034C8B" w:rsidRDefault="00034C8B" w:rsidP="00034C8B">
      <w:pPr>
        <w:spacing w:line="360" w:lineRule="auto"/>
        <w:ind w:right="147" w:firstLineChars="200" w:firstLine="482"/>
        <w:rPr>
          <w:rFonts w:asciiTheme="minorEastAsia" w:hAnsiTheme="minorEastAsia" w:cs="Wingdings"/>
          <w:b/>
          <w:color w:val="000000" w:themeColor="text1"/>
          <w:sz w:val="24"/>
          <w:szCs w:val="24"/>
        </w:rPr>
      </w:pPr>
      <w:r w:rsidRPr="00034C8B">
        <w:rPr>
          <w:rFonts w:asciiTheme="minorEastAsia" w:hAnsiTheme="minorEastAsia" w:cs="Wingdings" w:hint="eastAsia"/>
          <w:b/>
          <w:color w:val="000000" w:themeColor="text1"/>
          <w:sz w:val="24"/>
          <w:szCs w:val="24"/>
        </w:rPr>
        <w:t>三、相关风险提示</w:t>
      </w:r>
    </w:p>
    <w:p w14:paraId="0F4B197E" w14:textId="064C6E84" w:rsidR="00034C8B" w:rsidRPr="00034C8B" w:rsidRDefault="00034C8B" w:rsidP="00034C8B">
      <w:pPr>
        <w:spacing w:line="360" w:lineRule="auto"/>
        <w:ind w:right="147" w:firstLineChars="200" w:firstLine="480"/>
        <w:rPr>
          <w:rFonts w:asciiTheme="minorEastAsia" w:hAnsiTheme="minorEastAsia" w:cs="Wingdings"/>
          <w:color w:val="000000" w:themeColor="text1"/>
          <w:sz w:val="24"/>
          <w:szCs w:val="24"/>
        </w:rPr>
      </w:pPr>
      <w:r w:rsidRPr="00034C8B">
        <w:rPr>
          <w:rFonts w:asciiTheme="minorEastAsia" w:hAnsiTheme="minorEastAsia" w:cs="Wingdings"/>
          <w:color w:val="000000" w:themeColor="text1"/>
          <w:sz w:val="24"/>
          <w:szCs w:val="24"/>
        </w:rPr>
        <w:t>公司股票于2025年7月16日、17日</w:t>
      </w:r>
      <w:r w:rsidR="00D73254">
        <w:rPr>
          <w:rFonts w:asciiTheme="minorEastAsia" w:hAnsiTheme="minorEastAsia" w:cs="Wingdings" w:hint="eastAsia"/>
          <w:color w:val="000000" w:themeColor="text1"/>
          <w:sz w:val="24"/>
          <w:szCs w:val="24"/>
        </w:rPr>
        <w:t>、</w:t>
      </w:r>
      <w:r w:rsidR="00E93272">
        <w:rPr>
          <w:rFonts w:asciiTheme="minorEastAsia" w:hAnsiTheme="minorEastAsia" w:cs="Wingdings" w:hint="eastAsia"/>
          <w:color w:val="000000" w:themeColor="text1"/>
          <w:sz w:val="24"/>
          <w:szCs w:val="24"/>
        </w:rPr>
        <w:t>1</w:t>
      </w:r>
      <w:r w:rsidR="00E93272">
        <w:rPr>
          <w:rFonts w:asciiTheme="minorEastAsia" w:hAnsiTheme="minorEastAsia" w:cs="Wingdings"/>
          <w:color w:val="000000" w:themeColor="text1"/>
          <w:sz w:val="24"/>
          <w:szCs w:val="24"/>
        </w:rPr>
        <w:t>8</w:t>
      </w:r>
      <w:r w:rsidR="00E93272">
        <w:rPr>
          <w:rFonts w:asciiTheme="minorEastAsia" w:hAnsiTheme="minorEastAsia" w:cs="Wingdings" w:hint="eastAsia"/>
          <w:color w:val="000000" w:themeColor="text1"/>
          <w:sz w:val="24"/>
          <w:szCs w:val="24"/>
        </w:rPr>
        <w:t>日连续3</w:t>
      </w:r>
      <w:r w:rsidRPr="00034C8B">
        <w:rPr>
          <w:rFonts w:asciiTheme="minorEastAsia" w:hAnsiTheme="minorEastAsia" w:cs="Wingdings"/>
          <w:color w:val="000000" w:themeColor="text1"/>
          <w:sz w:val="24"/>
          <w:szCs w:val="24"/>
        </w:rPr>
        <w:t>个交易日内收盘价格涨幅偏离值累计超过 20%，敬请广大投资者注意交易风险，谨慎、理性投资。</w:t>
      </w:r>
    </w:p>
    <w:p w14:paraId="1189DCD4" w14:textId="4DF99D1B" w:rsidR="00B615C3" w:rsidRPr="002A4962" w:rsidRDefault="00034C8B" w:rsidP="002A4962">
      <w:pPr>
        <w:spacing w:line="360" w:lineRule="auto"/>
        <w:ind w:right="147" w:firstLineChars="200" w:firstLine="482"/>
        <w:rPr>
          <w:rFonts w:ascii="Wingdings" w:eastAsia="Wingdings" w:hAnsi="Wingdings" w:cs="Wingdings"/>
          <w:b/>
          <w:color w:val="000000" w:themeColor="text1"/>
          <w:sz w:val="24"/>
          <w:szCs w:val="24"/>
        </w:rPr>
      </w:pPr>
      <w:r>
        <w:rPr>
          <w:rFonts w:asciiTheme="minorEastAsia" w:hAnsiTheme="minorEastAsia" w:cs="Wingdings" w:hint="eastAsia"/>
          <w:b/>
          <w:color w:val="000000" w:themeColor="text1"/>
          <w:sz w:val="24"/>
          <w:szCs w:val="24"/>
        </w:rPr>
        <w:t>四</w:t>
      </w:r>
      <w:r w:rsidR="004479AD" w:rsidRPr="002A4962">
        <w:rPr>
          <w:rFonts w:ascii="Wingdings" w:eastAsia="Wingdings" w:hAnsi="Wingdings" w:cs="Wingdings" w:hint="eastAsia"/>
          <w:b/>
          <w:color w:val="000000" w:themeColor="text1"/>
          <w:sz w:val="24"/>
          <w:szCs w:val="24"/>
        </w:rPr>
        <w:t>、</w:t>
      </w:r>
      <w:r>
        <w:rPr>
          <w:rFonts w:asciiTheme="minorEastAsia" w:hAnsiTheme="minorEastAsia" w:cs="Wingdings" w:hint="eastAsia"/>
          <w:b/>
          <w:color w:val="000000" w:themeColor="text1"/>
          <w:sz w:val="24"/>
          <w:szCs w:val="24"/>
        </w:rPr>
        <w:t>董事会声明及相关方承诺</w:t>
      </w:r>
    </w:p>
    <w:p w14:paraId="70E971D3" w14:textId="3059551D" w:rsidR="00B615C3" w:rsidRPr="00D8737A" w:rsidRDefault="004479AD" w:rsidP="00581DEF">
      <w:pPr>
        <w:spacing w:line="360" w:lineRule="auto"/>
        <w:ind w:right="147" w:firstLineChars="200" w:firstLine="480"/>
        <w:rPr>
          <w:rFonts w:ascii="Wingdings" w:eastAsia="Wingdings" w:hAnsi="Wingdings" w:cs="Wingdings"/>
          <w:color w:val="000000" w:themeColor="text1"/>
          <w:sz w:val="24"/>
          <w:szCs w:val="24"/>
        </w:rPr>
      </w:pPr>
      <w:r w:rsidRPr="00D8737A">
        <w:rPr>
          <w:rFonts w:ascii="Wingdings" w:eastAsia="Wingdings" w:hAnsi="Wingdings" w:cs="Wingdings" w:hint="eastAsia"/>
          <w:color w:val="000000" w:themeColor="text1"/>
          <w:sz w:val="24"/>
          <w:szCs w:val="24"/>
        </w:rPr>
        <w:t>本公司董事会</w:t>
      </w:r>
      <w:r w:rsidR="00F23F85" w:rsidRPr="00D8737A">
        <w:rPr>
          <w:rFonts w:ascii="Wingdings" w:eastAsia="Wingdings" w:hAnsi="Wingdings" w:cs="Wingdings" w:hint="eastAsia"/>
          <w:color w:val="000000" w:themeColor="text1"/>
          <w:sz w:val="24"/>
          <w:szCs w:val="24"/>
        </w:rPr>
        <w:t>确认</w:t>
      </w:r>
      <w:r w:rsidRPr="00D8737A">
        <w:rPr>
          <w:rFonts w:ascii="Wingdings" w:eastAsia="Wingdings" w:hAnsi="Wingdings" w:cs="Wingdings" w:hint="eastAsia"/>
          <w:color w:val="000000" w:themeColor="text1"/>
          <w:sz w:val="24"/>
          <w:szCs w:val="24"/>
        </w:rPr>
        <w:t>，</w:t>
      </w:r>
      <w:r w:rsidR="00873C84" w:rsidRPr="00D8737A">
        <w:rPr>
          <w:rFonts w:asciiTheme="minorEastAsia" w:hAnsiTheme="minorEastAsia" w:cs="Wingdings" w:hint="eastAsia"/>
          <w:color w:val="000000" w:themeColor="text1"/>
          <w:sz w:val="24"/>
          <w:szCs w:val="24"/>
        </w:rPr>
        <w:t>（除前述第二部分涉及的披露事项外）</w:t>
      </w:r>
      <w:r w:rsidR="0044493D" w:rsidRPr="00D8737A">
        <w:rPr>
          <w:rFonts w:ascii="Wingdings" w:eastAsia="Wingdings" w:hAnsi="Wingdings" w:cs="Wingdings" w:hint="eastAsia"/>
          <w:color w:val="000000" w:themeColor="text1"/>
          <w:sz w:val="24"/>
          <w:szCs w:val="24"/>
        </w:rPr>
        <w:t>本公司没有任何根据《股票上市规则》等有关规定应披露而未披露的事项或与该等事项有关的筹划</w:t>
      </w:r>
      <w:r w:rsidR="00034C8B">
        <w:rPr>
          <w:rFonts w:asciiTheme="minorEastAsia" w:hAnsiTheme="minorEastAsia" w:cs="Wingdings" w:hint="eastAsia"/>
          <w:color w:val="000000" w:themeColor="text1"/>
          <w:sz w:val="24"/>
          <w:szCs w:val="24"/>
        </w:rPr>
        <w:t>、商谈、意向、协议等</w:t>
      </w:r>
      <w:r w:rsidR="0044493D" w:rsidRPr="00D8737A">
        <w:rPr>
          <w:rFonts w:ascii="Wingdings" w:eastAsia="Wingdings" w:hAnsi="Wingdings" w:cs="Wingdings" w:hint="eastAsia"/>
          <w:color w:val="000000" w:themeColor="text1"/>
          <w:sz w:val="24"/>
          <w:szCs w:val="24"/>
        </w:rPr>
        <w:t>，董事会也未获悉根据《股票上市规则》等有关规定应披露而未披露的、对本公司股票及其衍生品种交易价格可能产生较大影响的信息</w:t>
      </w:r>
      <w:r w:rsidR="00034C8B">
        <w:rPr>
          <w:rFonts w:asciiTheme="minorEastAsia" w:hAnsiTheme="minorEastAsia" w:cs="Wingdings" w:hint="eastAsia"/>
          <w:color w:val="000000" w:themeColor="text1"/>
          <w:sz w:val="24"/>
          <w:szCs w:val="24"/>
        </w:rPr>
        <w:t>，公司前期披露的信息不存在需要更正、补充之处。</w:t>
      </w:r>
    </w:p>
    <w:p w14:paraId="70E3CB3E" w14:textId="350F0EB2" w:rsidR="00C53567" w:rsidRDefault="00C53567" w:rsidP="00581DEF">
      <w:pPr>
        <w:spacing w:line="360" w:lineRule="auto"/>
        <w:ind w:right="147" w:firstLineChars="200" w:firstLine="480"/>
        <w:rPr>
          <w:rFonts w:ascii="宋体" w:eastAsia="宋体" w:hAnsi="宋体" w:cs="宋体"/>
          <w:sz w:val="24"/>
          <w:szCs w:val="24"/>
        </w:rPr>
      </w:pPr>
      <w:r>
        <w:rPr>
          <w:rFonts w:ascii="宋体" w:eastAsia="宋体" w:hAnsi="宋体" w:cs="宋体"/>
          <w:sz w:val="24"/>
          <w:szCs w:val="24"/>
        </w:rPr>
        <w:t>特此公告</w:t>
      </w:r>
      <w:r w:rsidR="00884CD7">
        <w:rPr>
          <w:rFonts w:ascii="宋体" w:eastAsia="宋体" w:hAnsi="宋体" w:cs="宋体" w:hint="eastAsia"/>
          <w:sz w:val="24"/>
          <w:szCs w:val="24"/>
        </w:rPr>
        <w:t>！</w:t>
      </w:r>
    </w:p>
    <w:p w14:paraId="6DF90AFF" w14:textId="77777777" w:rsidR="00701F68" w:rsidRDefault="00701F68" w:rsidP="00E463EA">
      <w:pPr>
        <w:ind w:right="147" w:firstLineChars="200" w:firstLine="480"/>
        <w:rPr>
          <w:rFonts w:ascii="宋体" w:eastAsia="宋体" w:hAnsi="宋体" w:cs="宋体"/>
          <w:sz w:val="24"/>
          <w:szCs w:val="24"/>
        </w:rPr>
      </w:pPr>
    </w:p>
    <w:p w14:paraId="0627D40C" w14:textId="77777777" w:rsidR="00003682" w:rsidRDefault="00003682" w:rsidP="00E463EA">
      <w:pPr>
        <w:ind w:right="226"/>
        <w:jc w:val="right"/>
        <w:rPr>
          <w:rFonts w:ascii="宋体" w:eastAsia="宋体" w:hAnsi="宋体" w:cs="宋体"/>
          <w:position w:val="-3"/>
          <w:sz w:val="24"/>
          <w:szCs w:val="24"/>
        </w:rPr>
      </w:pPr>
    </w:p>
    <w:p w14:paraId="40FE8A21" w14:textId="77777777" w:rsidR="00003682" w:rsidRDefault="00003682" w:rsidP="00E463EA">
      <w:pPr>
        <w:ind w:right="226"/>
        <w:jc w:val="right"/>
        <w:rPr>
          <w:rFonts w:ascii="宋体" w:eastAsia="宋体" w:hAnsi="宋体" w:cs="宋体"/>
          <w:position w:val="-3"/>
          <w:sz w:val="24"/>
          <w:szCs w:val="24"/>
        </w:rPr>
      </w:pPr>
    </w:p>
    <w:p w14:paraId="0005EF8E" w14:textId="77777777" w:rsidR="00003682" w:rsidRDefault="00003682" w:rsidP="00E463EA">
      <w:pPr>
        <w:ind w:right="226"/>
        <w:jc w:val="right"/>
        <w:rPr>
          <w:rFonts w:ascii="宋体" w:eastAsia="宋体" w:hAnsi="宋体" w:cs="宋体"/>
          <w:position w:val="-3"/>
          <w:sz w:val="24"/>
          <w:szCs w:val="24"/>
        </w:rPr>
      </w:pPr>
    </w:p>
    <w:p w14:paraId="7EC3CCB6" w14:textId="77777777" w:rsidR="00003682" w:rsidRDefault="00003682" w:rsidP="00E463EA">
      <w:pPr>
        <w:ind w:right="226"/>
        <w:jc w:val="right"/>
        <w:rPr>
          <w:rFonts w:ascii="宋体" w:eastAsia="宋体" w:hAnsi="宋体" w:cs="宋体"/>
          <w:position w:val="-3"/>
          <w:sz w:val="24"/>
          <w:szCs w:val="24"/>
        </w:rPr>
      </w:pPr>
    </w:p>
    <w:p w14:paraId="38914FD0" w14:textId="77777777" w:rsidR="00003682" w:rsidRDefault="00003682" w:rsidP="00E463EA">
      <w:pPr>
        <w:ind w:right="226"/>
        <w:jc w:val="right"/>
        <w:rPr>
          <w:rFonts w:ascii="宋体" w:eastAsia="宋体" w:hAnsi="宋体" w:cs="宋体"/>
          <w:position w:val="-3"/>
          <w:sz w:val="24"/>
          <w:szCs w:val="24"/>
        </w:rPr>
      </w:pPr>
    </w:p>
    <w:p w14:paraId="39AFC357" w14:textId="77777777" w:rsidR="00C53567" w:rsidRPr="002501B7" w:rsidRDefault="00C53567" w:rsidP="00E463EA">
      <w:pPr>
        <w:ind w:right="226"/>
        <w:jc w:val="right"/>
        <w:rPr>
          <w:rFonts w:ascii="宋体" w:eastAsia="宋体" w:hAnsi="宋体" w:cs="宋体"/>
          <w:position w:val="-3"/>
          <w:sz w:val="24"/>
          <w:szCs w:val="24"/>
        </w:rPr>
      </w:pPr>
      <w:r w:rsidRPr="002501B7">
        <w:rPr>
          <w:rFonts w:ascii="宋体" w:eastAsia="宋体" w:hAnsi="宋体" w:cs="宋体" w:hint="eastAsia"/>
          <w:position w:val="-3"/>
          <w:sz w:val="24"/>
          <w:szCs w:val="24"/>
        </w:rPr>
        <w:t xml:space="preserve">沧州大化股份有限公司                                            </w:t>
      </w:r>
    </w:p>
    <w:p w14:paraId="26E5C636" w14:textId="77777777" w:rsidR="00C53567" w:rsidRPr="002501B7" w:rsidRDefault="00C53567" w:rsidP="00E463EA">
      <w:pPr>
        <w:ind w:right="226"/>
        <w:rPr>
          <w:rFonts w:ascii="宋体" w:eastAsia="宋体" w:hAnsi="宋体" w:cs="宋体"/>
          <w:position w:val="-3"/>
          <w:sz w:val="24"/>
          <w:szCs w:val="24"/>
        </w:rPr>
      </w:pPr>
      <w:r>
        <w:rPr>
          <w:rFonts w:ascii="宋体" w:eastAsia="宋体" w:hAnsi="宋体" w:cs="宋体" w:hint="eastAsia"/>
          <w:position w:val="-3"/>
          <w:sz w:val="24"/>
          <w:szCs w:val="24"/>
        </w:rPr>
        <w:t xml:space="preserve">               </w:t>
      </w:r>
      <w:r>
        <w:rPr>
          <w:rFonts w:ascii="宋体" w:eastAsia="宋体" w:hAnsi="宋体" w:cs="宋体"/>
          <w:position w:val="-3"/>
          <w:sz w:val="24"/>
          <w:szCs w:val="24"/>
        </w:rPr>
        <w:t xml:space="preserve">                                         </w:t>
      </w:r>
      <w:r w:rsidR="00E463EA">
        <w:rPr>
          <w:rFonts w:ascii="宋体" w:eastAsia="宋体" w:hAnsi="宋体" w:cs="宋体"/>
          <w:position w:val="-3"/>
          <w:sz w:val="24"/>
          <w:szCs w:val="24"/>
        </w:rPr>
        <w:t xml:space="preserve">     </w:t>
      </w:r>
      <w:r w:rsidRPr="002501B7">
        <w:rPr>
          <w:rFonts w:ascii="宋体" w:eastAsia="宋体" w:hAnsi="宋体" w:cs="宋体" w:hint="eastAsia"/>
          <w:position w:val="-3"/>
          <w:sz w:val="24"/>
          <w:szCs w:val="24"/>
        </w:rPr>
        <w:t>董事会</w:t>
      </w:r>
    </w:p>
    <w:p w14:paraId="57F1C4C8" w14:textId="19328982" w:rsidR="008C58B3" w:rsidRPr="008C58B3" w:rsidRDefault="00C53567" w:rsidP="00311426">
      <w:pPr>
        <w:ind w:right="466"/>
        <w:jc w:val="right"/>
        <w:rPr>
          <w:rFonts w:ascii="宋体" w:eastAsia="宋体" w:hAnsi="宋体" w:cs="宋体"/>
          <w:sz w:val="24"/>
          <w:szCs w:val="24"/>
        </w:rPr>
      </w:pPr>
      <w:r w:rsidRPr="002501B7">
        <w:rPr>
          <w:rFonts w:ascii="宋体" w:eastAsia="宋体" w:hAnsi="宋体" w:cs="宋体" w:hint="eastAsia"/>
          <w:position w:val="-3"/>
          <w:sz w:val="24"/>
          <w:szCs w:val="24"/>
        </w:rPr>
        <w:t>20</w:t>
      </w:r>
      <w:r w:rsidR="009B270B">
        <w:rPr>
          <w:rFonts w:ascii="宋体" w:eastAsia="宋体" w:hAnsi="宋体" w:cs="宋体" w:hint="eastAsia"/>
          <w:position w:val="-3"/>
          <w:sz w:val="24"/>
          <w:szCs w:val="24"/>
        </w:rPr>
        <w:t>2</w:t>
      </w:r>
      <w:r w:rsidR="00884CD7">
        <w:rPr>
          <w:rFonts w:ascii="宋体" w:eastAsia="宋体" w:hAnsi="宋体" w:cs="宋体"/>
          <w:position w:val="-3"/>
          <w:sz w:val="24"/>
          <w:szCs w:val="24"/>
        </w:rPr>
        <w:t>5</w:t>
      </w:r>
      <w:r w:rsidRPr="002501B7">
        <w:rPr>
          <w:rFonts w:ascii="宋体" w:eastAsia="宋体" w:hAnsi="宋体" w:cs="宋体" w:hint="eastAsia"/>
          <w:position w:val="-3"/>
          <w:sz w:val="24"/>
          <w:szCs w:val="24"/>
        </w:rPr>
        <w:t>年</w:t>
      </w:r>
      <w:r w:rsidR="00884CD7">
        <w:rPr>
          <w:rFonts w:ascii="宋体" w:eastAsia="宋体" w:hAnsi="宋体" w:cs="宋体"/>
          <w:position w:val="-3"/>
          <w:sz w:val="24"/>
          <w:szCs w:val="24"/>
        </w:rPr>
        <w:t>7</w:t>
      </w:r>
      <w:r w:rsidRPr="002501B7">
        <w:rPr>
          <w:rFonts w:ascii="宋体" w:eastAsia="宋体" w:hAnsi="宋体" w:cs="宋体" w:hint="eastAsia"/>
          <w:position w:val="-3"/>
          <w:sz w:val="24"/>
          <w:szCs w:val="24"/>
        </w:rPr>
        <w:t>月</w:t>
      </w:r>
      <w:r w:rsidR="00594BD6">
        <w:rPr>
          <w:rFonts w:ascii="宋体" w:eastAsia="宋体" w:hAnsi="宋体" w:cs="宋体" w:hint="eastAsia"/>
          <w:position w:val="-3"/>
          <w:sz w:val="24"/>
          <w:szCs w:val="24"/>
        </w:rPr>
        <w:t>1</w:t>
      </w:r>
      <w:r w:rsidR="00884CD7">
        <w:rPr>
          <w:rFonts w:ascii="宋体" w:eastAsia="宋体" w:hAnsi="宋体" w:cs="宋体"/>
          <w:position w:val="-3"/>
          <w:sz w:val="24"/>
          <w:szCs w:val="24"/>
        </w:rPr>
        <w:t>9</w:t>
      </w:r>
      <w:r w:rsidRPr="002501B7">
        <w:rPr>
          <w:rFonts w:ascii="宋体" w:eastAsia="宋体" w:hAnsi="宋体" w:cs="宋体" w:hint="eastAsia"/>
          <w:position w:val="-3"/>
          <w:sz w:val="24"/>
          <w:szCs w:val="24"/>
        </w:rPr>
        <w:t>日</w:t>
      </w:r>
    </w:p>
    <w:sectPr w:rsidR="008C58B3" w:rsidRPr="008C58B3" w:rsidSect="00580D64">
      <w:pgSz w:w="11906" w:h="16838"/>
      <w:pgMar w:top="1440" w:right="1418"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3131" w14:textId="77777777" w:rsidR="00AA4FA4" w:rsidRDefault="00AA4FA4" w:rsidP="0074780E">
      <w:r>
        <w:separator/>
      </w:r>
    </w:p>
  </w:endnote>
  <w:endnote w:type="continuationSeparator" w:id="0">
    <w:p w14:paraId="3B525959" w14:textId="77777777" w:rsidR="00AA4FA4" w:rsidRDefault="00AA4FA4" w:rsidP="0074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B62C" w14:textId="77777777" w:rsidR="00AA4FA4" w:rsidRDefault="00AA4FA4" w:rsidP="0074780E">
      <w:r>
        <w:separator/>
      </w:r>
    </w:p>
  </w:footnote>
  <w:footnote w:type="continuationSeparator" w:id="0">
    <w:p w14:paraId="08FFC189" w14:textId="77777777" w:rsidR="00AA4FA4" w:rsidRDefault="00AA4FA4" w:rsidP="00747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11D1"/>
    <w:multiLevelType w:val="hybridMultilevel"/>
    <w:tmpl w:val="82E61444"/>
    <w:lvl w:ilvl="0" w:tplc="9BDCC7D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00613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1ABF"/>
    <w:rsid w:val="00002B08"/>
    <w:rsid w:val="00003682"/>
    <w:rsid w:val="00012B23"/>
    <w:rsid w:val="00020810"/>
    <w:rsid w:val="000314B3"/>
    <w:rsid w:val="00034C8B"/>
    <w:rsid w:val="00040DBE"/>
    <w:rsid w:val="000446A3"/>
    <w:rsid w:val="00046AA6"/>
    <w:rsid w:val="000515A8"/>
    <w:rsid w:val="0006040F"/>
    <w:rsid w:val="0007614F"/>
    <w:rsid w:val="0007791B"/>
    <w:rsid w:val="0009023C"/>
    <w:rsid w:val="000A149C"/>
    <w:rsid w:val="000A4BC7"/>
    <w:rsid w:val="000B1749"/>
    <w:rsid w:val="000F298A"/>
    <w:rsid w:val="00154814"/>
    <w:rsid w:val="00182A2A"/>
    <w:rsid w:val="0018521A"/>
    <w:rsid w:val="00194BF1"/>
    <w:rsid w:val="001975BB"/>
    <w:rsid w:val="001C5DF4"/>
    <w:rsid w:val="001C7F6F"/>
    <w:rsid w:val="001E5CA8"/>
    <w:rsid w:val="001F1918"/>
    <w:rsid w:val="002038D6"/>
    <w:rsid w:val="00210A79"/>
    <w:rsid w:val="00214143"/>
    <w:rsid w:val="00221660"/>
    <w:rsid w:val="002507D2"/>
    <w:rsid w:val="0027542C"/>
    <w:rsid w:val="002823BA"/>
    <w:rsid w:val="002A2646"/>
    <w:rsid w:val="002A4962"/>
    <w:rsid w:val="002B5E04"/>
    <w:rsid w:val="002C73DF"/>
    <w:rsid w:val="002D4685"/>
    <w:rsid w:val="002D5733"/>
    <w:rsid w:val="002D6351"/>
    <w:rsid w:val="002F3630"/>
    <w:rsid w:val="002F45B9"/>
    <w:rsid w:val="00311426"/>
    <w:rsid w:val="0032223B"/>
    <w:rsid w:val="00326527"/>
    <w:rsid w:val="00342499"/>
    <w:rsid w:val="003512F6"/>
    <w:rsid w:val="00363E10"/>
    <w:rsid w:val="0036448D"/>
    <w:rsid w:val="00367ED8"/>
    <w:rsid w:val="0038425A"/>
    <w:rsid w:val="003B2718"/>
    <w:rsid w:val="003C67DE"/>
    <w:rsid w:val="003D17CF"/>
    <w:rsid w:val="003D7364"/>
    <w:rsid w:val="003E783D"/>
    <w:rsid w:val="00430EEC"/>
    <w:rsid w:val="00434E88"/>
    <w:rsid w:val="0044493D"/>
    <w:rsid w:val="004479AD"/>
    <w:rsid w:val="00457FD6"/>
    <w:rsid w:val="00460195"/>
    <w:rsid w:val="00471733"/>
    <w:rsid w:val="004908A7"/>
    <w:rsid w:val="004A0169"/>
    <w:rsid w:val="004A3FAB"/>
    <w:rsid w:val="004A5E07"/>
    <w:rsid w:val="004A6730"/>
    <w:rsid w:val="004A6F6C"/>
    <w:rsid w:val="004B1708"/>
    <w:rsid w:val="004C4F78"/>
    <w:rsid w:val="004D2764"/>
    <w:rsid w:val="0050436C"/>
    <w:rsid w:val="005152DD"/>
    <w:rsid w:val="00525CC4"/>
    <w:rsid w:val="005306C9"/>
    <w:rsid w:val="00531423"/>
    <w:rsid w:val="00533F88"/>
    <w:rsid w:val="005362F5"/>
    <w:rsid w:val="00542155"/>
    <w:rsid w:val="00553576"/>
    <w:rsid w:val="0057288B"/>
    <w:rsid w:val="00575E86"/>
    <w:rsid w:val="00580D64"/>
    <w:rsid w:val="00581DEF"/>
    <w:rsid w:val="00594BD6"/>
    <w:rsid w:val="005A3705"/>
    <w:rsid w:val="005D3E61"/>
    <w:rsid w:val="005F3103"/>
    <w:rsid w:val="00603CFB"/>
    <w:rsid w:val="006307CE"/>
    <w:rsid w:val="00635BEF"/>
    <w:rsid w:val="0065473D"/>
    <w:rsid w:val="006677CF"/>
    <w:rsid w:val="00674A8B"/>
    <w:rsid w:val="00681491"/>
    <w:rsid w:val="00685F39"/>
    <w:rsid w:val="006D4BFE"/>
    <w:rsid w:val="006E5CD6"/>
    <w:rsid w:val="00701F68"/>
    <w:rsid w:val="00705803"/>
    <w:rsid w:val="007302B8"/>
    <w:rsid w:val="0074780E"/>
    <w:rsid w:val="00764013"/>
    <w:rsid w:val="00770D52"/>
    <w:rsid w:val="007852E8"/>
    <w:rsid w:val="00785FC3"/>
    <w:rsid w:val="007C31D8"/>
    <w:rsid w:val="007C534D"/>
    <w:rsid w:val="007E1611"/>
    <w:rsid w:val="0080111F"/>
    <w:rsid w:val="00813937"/>
    <w:rsid w:val="008177D3"/>
    <w:rsid w:val="00822777"/>
    <w:rsid w:val="0083110F"/>
    <w:rsid w:val="00832698"/>
    <w:rsid w:val="00873C84"/>
    <w:rsid w:val="00884CD7"/>
    <w:rsid w:val="008874CC"/>
    <w:rsid w:val="00894092"/>
    <w:rsid w:val="008A4604"/>
    <w:rsid w:val="008A5185"/>
    <w:rsid w:val="008B16FC"/>
    <w:rsid w:val="008C02A4"/>
    <w:rsid w:val="008C0B11"/>
    <w:rsid w:val="008C58B3"/>
    <w:rsid w:val="008F3F75"/>
    <w:rsid w:val="00911BA0"/>
    <w:rsid w:val="00936FE1"/>
    <w:rsid w:val="009425FC"/>
    <w:rsid w:val="00955469"/>
    <w:rsid w:val="00961EB9"/>
    <w:rsid w:val="0096748D"/>
    <w:rsid w:val="009A3131"/>
    <w:rsid w:val="009A3530"/>
    <w:rsid w:val="009B270B"/>
    <w:rsid w:val="009C5ED5"/>
    <w:rsid w:val="009D6FE5"/>
    <w:rsid w:val="009E7172"/>
    <w:rsid w:val="009F0BB5"/>
    <w:rsid w:val="009F22C7"/>
    <w:rsid w:val="00A024A2"/>
    <w:rsid w:val="00A0295A"/>
    <w:rsid w:val="00A030ED"/>
    <w:rsid w:val="00A146CE"/>
    <w:rsid w:val="00A16622"/>
    <w:rsid w:val="00A234CF"/>
    <w:rsid w:val="00A35DE6"/>
    <w:rsid w:val="00A674DE"/>
    <w:rsid w:val="00A80D54"/>
    <w:rsid w:val="00A979EB"/>
    <w:rsid w:val="00AA4234"/>
    <w:rsid w:val="00AA4FA4"/>
    <w:rsid w:val="00AA594E"/>
    <w:rsid w:val="00AB7025"/>
    <w:rsid w:val="00B00ECF"/>
    <w:rsid w:val="00B238E7"/>
    <w:rsid w:val="00B27B38"/>
    <w:rsid w:val="00B3184E"/>
    <w:rsid w:val="00B4010E"/>
    <w:rsid w:val="00B50804"/>
    <w:rsid w:val="00B615C3"/>
    <w:rsid w:val="00B65961"/>
    <w:rsid w:val="00B7066C"/>
    <w:rsid w:val="00B746A1"/>
    <w:rsid w:val="00B808A4"/>
    <w:rsid w:val="00B97547"/>
    <w:rsid w:val="00BA3075"/>
    <w:rsid w:val="00BB1EEC"/>
    <w:rsid w:val="00BB3527"/>
    <w:rsid w:val="00BB70CE"/>
    <w:rsid w:val="00BC2E63"/>
    <w:rsid w:val="00BE4186"/>
    <w:rsid w:val="00BF3DD8"/>
    <w:rsid w:val="00C14644"/>
    <w:rsid w:val="00C272E8"/>
    <w:rsid w:val="00C52070"/>
    <w:rsid w:val="00C53567"/>
    <w:rsid w:val="00C67167"/>
    <w:rsid w:val="00CC1ABF"/>
    <w:rsid w:val="00CD0F81"/>
    <w:rsid w:val="00CD5E73"/>
    <w:rsid w:val="00CE63FD"/>
    <w:rsid w:val="00D16A40"/>
    <w:rsid w:val="00D40E8C"/>
    <w:rsid w:val="00D448A5"/>
    <w:rsid w:val="00D47465"/>
    <w:rsid w:val="00D73254"/>
    <w:rsid w:val="00D8737A"/>
    <w:rsid w:val="00D94D6E"/>
    <w:rsid w:val="00DA54FA"/>
    <w:rsid w:val="00DB0258"/>
    <w:rsid w:val="00DE1A20"/>
    <w:rsid w:val="00DE5CFF"/>
    <w:rsid w:val="00DE61AF"/>
    <w:rsid w:val="00DF5816"/>
    <w:rsid w:val="00E25CEF"/>
    <w:rsid w:val="00E458EE"/>
    <w:rsid w:val="00E463EA"/>
    <w:rsid w:val="00E50872"/>
    <w:rsid w:val="00E51280"/>
    <w:rsid w:val="00E62BE0"/>
    <w:rsid w:val="00E651B7"/>
    <w:rsid w:val="00E85461"/>
    <w:rsid w:val="00E91D60"/>
    <w:rsid w:val="00E93272"/>
    <w:rsid w:val="00E97913"/>
    <w:rsid w:val="00EA4B91"/>
    <w:rsid w:val="00EF73E5"/>
    <w:rsid w:val="00F0072A"/>
    <w:rsid w:val="00F0426C"/>
    <w:rsid w:val="00F23F85"/>
    <w:rsid w:val="00F4478C"/>
    <w:rsid w:val="00F54DA6"/>
    <w:rsid w:val="00F65B50"/>
    <w:rsid w:val="00F77483"/>
    <w:rsid w:val="00F827C4"/>
    <w:rsid w:val="00F95FEE"/>
    <w:rsid w:val="00FB5F2F"/>
    <w:rsid w:val="00FC5A5C"/>
    <w:rsid w:val="00FC7645"/>
    <w:rsid w:val="00FD550B"/>
    <w:rsid w:val="00FE5F1B"/>
    <w:rsid w:val="00FF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9F4F"/>
  <w15:docId w15:val="{2573423F-E513-4AFC-B7E3-6D29372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567"/>
    <w:pPr>
      <w:spacing w:after="200" w:line="276" w:lineRule="auto"/>
      <w:ind w:firstLineChars="200" w:firstLine="420"/>
      <w:jc w:val="left"/>
    </w:pPr>
    <w:rPr>
      <w:kern w:val="0"/>
      <w:sz w:val="22"/>
      <w:lang w:eastAsia="en-US"/>
    </w:rPr>
  </w:style>
  <w:style w:type="paragraph" w:styleId="a4">
    <w:name w:val="header"/>
    <w:basedOn w:val="a"/>
    <w:link w:val="a5"/>
    <w:uiPriority w:val="99"/>
    <w:unhideWhenUsed/>
    <w:rsid w:val="0074780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780E"/>
    <w:rPr>
      <w:sz w:val="18"/>
      <w:szCs w:val="18"/>
    </w:rPr>
  </w:style>
  <w:style w:type="paragraph" w:styleId="a6">
    <w:name w:val="footer"/>
    <w:basedOn w:val="a"/>
    <w:link w:val="a7"/>
    <w:uiPriority w:val="99"/>
    <w:unhideWhenUsed/>
    <w:rsid w:val="0074780E"/>
    <w:pPr>
      <w:tabs>
        <w:tab w:val="center" w:pos="4153"/>
        <w:tab w:val="right" w:pos="8306"/>
      </w:tabs>
      <w:snapToGrid w:val="0"/>
      <w:jc w:val="left"/>
    </w:pPr>
    <w:rPr>
      <w:sz w:val="18"/>
      <w:szCs w:val="18"/>
    </w:rPr>
  </w:style>
  <w:style w:type="character" w:customStyle="1" w:styleId="a7">
    <w:name w:val="页脚 字符"/>
    <w:basedOn w:val="a0"/>
    <w:link w:val="a6"/>
    <w:uiPriority w:val="99"/>
    <w:rsid w:val="0074780E"/>
    <w:rPr>
      <w:sz w:val="18"/>
      <w:szCs w:val="18"/>
    </w:rPr>
  </w:style>
  <w:style w:type="paragraph" w:styleId="a8">
    <w:name w:val="Date"/>
    <w:basedOn w:val="a"/>
    <w:next w:val="a"/>
    <w:link w:val="a9"/>
    <w:uiPriority w:val="99"/>
    <w:semiHidden/>
    <w:unhideWhenUsed/>
    <w:rsid w:val="0074780E"/>
    <w:pPr>
      <w:ind w:leftChars="2500" w:left="100"/>
    </w:pPr>
  </w:style>
  <w:style w:type="character" w:customStyle="1" w:styleId="a9">
    <w:name w:val="日期 字符"/>
    <w:basedOn w:val="a0"/>
    <w:link w:val="a8"/>
    <w:uiPriority w:val="99"/>
    <w:semiHidden/>
    <w:rsid w:val="0074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aaa</cp:lastModifiedBy>
  <cp:revision>155</cp:revision>
  <cp:lastPrinted>2025-07-18T09:41:00Z</cp:lastPrinted>
  <dcterms:created xsi:type="dcterms:W3CDTF">2016-02-04T08:00:00Z</dcterms:created>
  <dcterms:modified xsi:type="dcterms:W3CDTF">2025-07-18T10:01:00Z</dcterms:modified>
</cp:coreProperties>
</file>